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3F023" w14:textId="77777777" w:rsidR="000724B2" w:rsidRPr="000724B2" w:rsidRDefault="000724B2" w:rsidP="00D5133F">
      <w:pPr>
        <w:pStyle w:val="P68B1DB1-Normal1"/>
        <w:jc w:val="center"/>
        <w:rPr>
          <w:szCs w:val="28"/>
          <w:lang w:val="bs-Cyrl-BA"/>
        </w:rPr>
      </w:pPr>
      <w:r w:rsidRPr="000724B2">
        <w:rPr>
          <w:szCs w:val="28"/>
          <w:lang w:val="bs-Cyrl-BA"/>
        </w:rPr>
        <w:t>Изјава опредијељености за трансформацију образовања ресорних министара образовања у Босни и Херцеговини</w:t>
      </w:r>
    </w:p>
    <w:p w14:paraId="68806D32" w14:textId="77777777" w:rsidR="000724B2" w:rsidRPr="000724B2" w:rsidRDefault="000724B2" w:rsidP="00D5133F">
      <w:pPr>
        <w:pStyle w:val="NoSpacing"/>
        <w:rPr>
          <w:rFonts w:cstheme="minorHAnsi"/>
          <w:lang w:val="bs-Cyrl-BA"/>
        </w:rPr>
      </w:pPr>
    </w:p>
    <w:p w14:paraId="21E9F906" w14:textId="77777777" w:rsidR="000724B2" w:rsidRPr="000724B2" w:rsidRDefault="000724B2" w:rsidP="00D5133F">
      <w:pPr>
        <w:spacing w:after="120" w:line="240" w:lineRule="auto"/>
        <w:jc w:val="both"/>
        <w:rPr>
          <w:rFonts w:cstheme="minorHAnsi"/>
          <w:b/>
          <w:i/>
          <w:lang w:val="bs-Cyrl-BA"/>
        </w:rPr>
      </w:pPr>
      <w:r w:rsidRPr="000724B2">
        <w:rPr>
          <w:rFonts w:cstheme="minorHAnsi"/>
          <w:b/>
          <w:i/>
          <w:lang w:val="bs-Cyrl-BA"/>
        </w:rPr>
        <w:t>Ваша Екселенцијо, генерални секретару Уједињених нација,</w:t>
      </w:r>
    </w:p>
    <w:p w14:paraId="28031733" w14:textId="77777777" w:rsidR="000724B2" w:rsidRPr="000724B2" w:rsidRDefault="000724B2" w:rsidP="00D5133F">
      <w:pPr>
        <w:spacing w:after="120" w:line="240" w:lineRule="auto"/>
        <w:jc w:val="both"/>
        <w:rPr>
          <w:b/>
          <w:i/>
          <w:lang w:val="bs-Cyrl-BA"/>
        </w:rPr>
      </w:pPr>
      <w:r w:rsidRPr="000724B2">
        <w:rPr>
          <w:b/>
          <w:i/>
          <w:lang w:val="bs-Cyrl-BA"/>
        </w:rPr>
        <w:t>Хвала Вам на организацији Глобалног самита о трансформацији образовања у овом кључном тренутку за опоравак образовања од посљедица пандемије ЦОВИД-19,  како би се спречила генерацијска катастрофа у образовању.</w:t>
      </w:r>
    </w:p>
    <w:p w14:paraId="199DC5F6" w14:textId="77777777" w:rsidR="000724B2" w:rsidRPr="000724B2" w:rsidRDefault="000724B2" w:rsidP="00D5133F">
      <w:pPr>
        <w:spacing w:after="120" w:line="240" w:lineRule="auto"/>
        <w:jc w:val="both"/>
        <w:rPr>
          <w:rFonts w:cstheme="minorHAnsi"/>
          <w:b/>
          <w:i/>
          <w:lang w:val="bs-Cyrl-BA"/>
        </w:rPr>
      </w:pPr>
      <w:r w:rsidRPr="000724B2">
        <w:rPr>
          <w:rFonts w:cstheme="minorHAnsi"/>
          <w:b/>
          <w:i/>
          <w:lang w:val="bs-Cyrl-BA"/>
        </w:rPr>
        <w:t>Ми, министри образовања и представници образовних власти у Босни и Херцеговини,</w:t>
      </w:r>
      <w:r w:rsidRPr="000724B2">
        <w:rPr>
          <w:rFonts w:cstheme="minorHAnsi"/>
          <w:i/>
          <w:lang w:val="bs-Cyrl-BA"/>
        </w:rPr>
        <w:t xml:space="preserve"> </w:t>
      </w:r>
      <w:r w:rsidRPr="000724B2">
        <w:rPr>
          <w:rFonts w:cstheme="minorHAnsi"/>
          <w:b/>
          <w:i/>
          <w:lang w:val="bs-Cyrl-BA"/>
        </w:rPr>
        <w:t>потпуно посвећени изградњи квалитетног, инклузивног и једнаког образовања доступног свима, водећи се препорукама и потребама свих учесника процеса консултација о трансформацији образовања у Босни и Херцеговини:</w:t>
      </w:r>
    </w:p>
    <w:p w14:paraId="54C03E51" w14:textId="77777777" w:rsidR="000724B2" w:rsidRPr="000724B2" w:rsidRDefault="000724B2" w:rsidP="00D5133F">
      <w:pPr>
        <w:spacing w:after="120" w:line="240" w:lineRule="auto"/>
        <w:jc w:val="both"/>
        <w:rPr>
          <w:rFonts w:cstheme="minorHAnsi"/>
          <w:b/>
          <w:i/>
          <w:lang w:val="bs-Cyrl-BA"/>
        </w:rPr>
      </w:pPr>
    </w:p>
    <w:p w14:paraId="6E237BFF" w14:textId="77777777" w:rsidR="000724B2" w:rsidRPr="000724B2" w:rsidRDefault="000724B2" w:rsidP="00D5133F">
      <w:pPr>
        <w:spacing w:after="120" w:line="240" w:lineRule="auto"/>
        <w:jc w:val="both"/>
        <w:rPr>
          <w:rFonts w:cstheme="minorHAnsi"/>
          <w:lang w:val="bs-Cyrl-BA"/>
        </w:rPr>
      </w:pPr>
      <w:r w:rsidRPr="000724B2">
        <w:rPr>
          <w:rFonts w:cstheme="minorHAnsi"/>
          <w:i/>
          <w:lang w:val="bs-Cyrl-BA"/>
        </w:rPr>
        <w:t>Залажемо</w:t>
      </w:r>
      <w:r w:rsidRPr="000724B2">
        <w:rPr>
          <w:rFonts w:cstheme="minorHAnsi"/>
          <w:lang w:val="bs-Cyrl-BA"/>
        </w:rPr>
        <w:t xml:space="preserve"> се за </w:t>
      </w:r>
      <w:r w:rsidRPr="000724B2">
        <w:rPr>
          <w:rFonts w:cstheme="minorHAnsi"/>
          <w:b/>
          <w:lang w:val="bs-Cyrl-BA"/>
        </w:rPr>
        <w:t>једнак приступ образовању</w:t>
      </w:r>
      <w:r w:rsidRPr="000724B2">
        <w:rPr>
          <w:rFonts w:cstheme="minorHAnsi"/>
          <w:lang w:val="bs-Cyrl-BA"/>
        </w:rPr>
        <w:t xml:space="preserve"> и подршку дјеци и младима са сметњама у развоју, дјеци и младима који долазе из економски и социјално угрожених категорија, те руралних подручја,</w:t>
      </w:r>
    </w:p>
    <w:p w14:paraId="6258C5EB" w14:textId="77777777" w:rsidR="000724B2" w:rsidRPr="000724B2" w:rsidRDefault="000724B2" w:rsidP="00D5133F">
      <w:pPr>
        <w:spacing w:after="120" w:line="240" w:lineRule="auto"/>
        <w:jc w:val="both"/>
        <w:rPr>
          <w:lang w:val="bs-Cyrl-BA"/>
        </w:rPr>
      </w:pPr>
      <w:r w:rsidRPr="000724B2">
        <w:rPr>
          <w:i/>
          <w:iCs/>
          <w:lang w:val="bs-Cyrl-BA"/>
        </w:rPr>
        <w:t xml:space="preserve">Опредјељени </w:t>
      </w:r>
      <w:r w:rsidRPr="000724B2">
        <w:rPr>
          <w:lang w:val="bs-Cyrl-BA"/>
        </w:rPr>
        <w:t>смо</w:t>
      </w:r>
      <w:r w:rsidRPr="000724B2">
        <w:rPr>
          <w:i/>
          <w:iCs/>
          <w:lang w:val="bs-Cyrl-BA"/>
        </w:rPr>
        <w:t xml:space="preserve"> </w:t>
      </w:r>
      <w:r w:rsidRPr="000724B2">
        <w:rPr>
          <w:lang w:val="bs-Cyrl-BA"/>
        </w:rPr>
        <w:t>за</w:t>
      </w:r>
      <w:r w:rsidRPr="000724B2">
        <w:rPr>
          <w:i/>
          <w:iCs/>
          <w:lang w:val="bs-Cyrl-BA"/>
        </w:rPr>
        <w:t xml:space="preserve"> </w:t>
      </w:r>
      <w:r w:rsidRPr="000724B2">
        <w:rPr>
          <w:lang w:val="bs-Cyrl-BA"/>
        </w:rPr>
        <w:t xml:space="preserve">унапређење </w:t>
      </w:r>
      <w:r w:rsidRPr="000724B2">
        <w:rPr>
          <w:b/>
          <w:bCs/>
          <w:lang w:val="bs-Cyrl-BA"/>
        </w:rPr>
        <w:t>приступа образовању</w:t>
      </w:r>
      <w:r w:rsidRPr="000724B2">
        <w:rPr>
          <w:lang w:val="bs-Cyrl-BA"/>
        </w:rPr>
        <w:t>, обуци и тржишту рада како би се реализирао принцип „да нико не буде искључен“ кроз квалитетно образовање и доживотно учење, побољшање инклузивности образовних система, те усклађености са потребама друштва,</w:t>
      </w:r>
    </w:p>
    <w:p w14:paraId="02ADB1F3" w14:textId="77777777" w:rsidR="000724B2" w:rsidRPr="000724B2" w:rsidRDefault="000724B2" w:rsidP="00D5133F">
      <w:pPr>
        <w:spacing w:after="120" w:line="240" w:lineRule="auto"/>
        <w:jc w:val="both"/>
        <w:rPr>
          <w:lang w:val="bs-Cyrl-BA"/>
        </w:rPr>
      </w:pPr>
      <w:r w:rsidRPr="000724B2">
        <w:rPr>
          <w:i/>
          <w:lang w:val="bs-Cyrl-BA"/>
        </w:rPr>
        <w:t>Позивамо</w:t>
      </w:r>
      <w:r w:rsidRPr="000724B2">
        <w:rPr>
          <w:lang w:val="bs-Cyrl-BA"/>
        </w:rPr>
        <w:t xml:space="preserve"> актере на сарадњу како би се </w:t>
      </w:r>
      <w:r w:rsidRPr="000724B2">
        <w:rPr>
          <w:b/>
          <w:lang w:val="bs-Cyrl-BA"/>
        </w:rPr>
        <w:t>унаприједило радно и пословно окружење</w:t>
      </w:r>
      <w:r w:rsidRPr="000724B2">
        <w:rPr>
          <w:lang w:val="bs-Cyrl-BA"/>
        </w:rPr>
        <w:t xml:space="preserve"> те тиме убрзало стварање радних мјеста у економији 21. вијека те допринијели побољшању стандарда живота,</w:t>
      </w:r>
    </w:p>
    <w:p w14:paraId="5C906821" w14:textId="77777777" w:rsidR="000724B2" w:rsidRPr="000724B2" w:rsidRDefault="000724B2" w:rsidP="00D5133F">
      <w:pPr>
        <w:spacing w:after="120" w:line="240" w:lineRule="auto"/>
        <w:jc w:val="both"/>
        <w:rPr>
          <w:iCs/>
          <w:lang w:val="bs-Cyrl-BA"/>
        </w:rPr>
      </w:pPr>
      <w:r w:rsidRPr="000724B2">
        <w:rPr>
          <w:i/>
          <w:iCs/>
          <w:lang w:val="bs-Cyrl-BA"/>
        </w:rPr>
        <w:t>Препознајемо</w:t>
      </w:r>
      <w:r w:rsidRPr="000724B2">
        <w:rPr>
          <w:lang w:val="bs-Cyrl-BA"/>
        </w:rPr>
        <w:t xml:space="preserve"> потребу за </w:t>
      </w:r>
      <w:r w:rsidRPr="000724B2">
        <w:rPr>
          <w:b/>
          <w:bCs/>
          <w:lang w:val="bs-Cyrl-BA"/>
        </w:rPr>
        <w:t>усвајањем нових знања, вјештина и компетенција ученика и студената</w:t>
      </w:r>
      <w:r w:rsidRPr="000724B2">
        <w:rPr>
          <w:lang w:val="bs-Cyrl-BA"/>
        </w:rPr>
        <w:t xml:space="preserve"> које ће их припремити за радно и животно окружење које се мијења, те за одрживу будућност, фокусирајући се посебно на индивидуални приступ учењу, изградњу језичке и математичке функционалне писмености, те стицање општег и специјализовног знања, вјештина и </w:t>
      </w:r>
      <w:r w:rsidRPr="000724B2">
        <w:rPr>
          <w:iCs/>
          <w:lang w:val="bs-Cyrl-BA"/>
        </w:rPr>
        <w:t>компетенција, заснованих на исходима учења,</w:t>
      </w:r>
    </w:p>
    <w:p w14:paraId="2AF7A451" w14:textId="77777777" w:rsidR="000724B2" w:rsidRPr="000724B2" w:rsidRDefault="000724B2" w:rsidP="00D5133F">
      <w:pPr>
        <w:spacing w:after="120" w:line="240" w:lineRule="auto"/>
        <w:jc w:val="both"/>
        <w:rPr>
          <w:iCs/>
          <w:lang w:val="bs-Cyrl-BA"/>
        </w:rPr>
      </w:pPr>
      <w:r w:rsidRPr="000724B2">
        <w:rPr>
          <w:iCs/>
          <w:lang w:val="bs-Cyrl-BA"/>
        </w:rPr>
        <w:t xml:space="preserve">Свјесни утјецаја глобалних и локалних изазова који утичу на развој дјеце, ученика и студената </w:t>
      </w:r>
      <w:r w:rsidRPr="000724B2">
        <w:rPr>
          <w:i/>
          <w:iCs/>
          <w:lang w:val="bs-Cyrl-BA"/>
        </w:rPr>
        <w:t>заговарамо</w:t>
      </w:r>
      <w:r w:rsidRPr="000724B2">
        <w:rPr>
          <w:iCs/>
          <w:lang w:val="bs-Cyrl-BA"/>
        </w:rPr>
        <w:t xml:space="preserve"> </w:t>
      </w:r>
      <w:r w:rsidRPr="000724B2">
        <w:rPr>
          <w:b/>
          <w:iCs/>
          <w:lang w:val="bs-Cyrl-BA"/>
        </w:rPr>
        <w:t>више пажње за ментално здравље и добробити</w:t>
      </w:r>
      <w:r w:rsidRPr="000724B2">
        <w:rPr>
          <w:iCs/>
          <w:lang w:val="bs-Cyrl-BA"/>
        </w:rPr>
        <w:t xml:space="preserve"> дјеце, ученика, студената и наставника,</w:t>
      </w:r>
    </w:p>
    <w:p w14:paraId="7967783C" w14:textId="77777777" w:rsidR="000724B2" w:rsidRPr="000724B2" w:rsidRDefault="000724B2" w:rsidP="00D5133F">
      <w:pPr>
        <w:spacing w:after="120" w:line="240" w:lineRule="auto"/>
        <w:jc w:val="both"/>
        <w:rPr>
          <w:lang w:val="bs-Cyrl-BA"/>
        </w:rPr>
      </w:pPr>
      <w:r w:rsidRPr="000724B2">
        <w:rPr>
          <w:i/>
          <w:iCs/>
          <w:lang w:val="bs-Cyrl-BA"/>
        </w:rPr>
        <w:t>Радимо</w:t>
      </w:r>
      <w:r w:rsidRPr="000724B2">
        <w:rPr>
          <w:lang w:val="bs-Cyrl-BA"/>
        </w:rPr>
        <w:t xml:space="preserve"> на </w:t>
      </w:r>
      <w:r w:rsidRPr="000724B2">
        <w:rPr>
          <w:b/>
          <w:bCs/>
          <w:lang w:val="bs-Cyrl-BA"/>
        </w:rPr>
        <w:t>јачању стручног, правног, финансијског и административног окружења</w:t>
      </w:r>
      <w:r w:rsidRPr="000724B2">
        <w:rPr>
          <w:lang w:val="bs-Cyrl-BA"/>
        </w:rPr>
        <w:t xml:space="preserve"> за провођење квалитетног свеобухватног образовања, поготово дигиталног учења, имајући у виду педагошке и техничке захтјеве које образовне установе морају да испуне као и неопходни минимум квалификација наставника и предавача за овај облик учења,</w:t>
      </w:r>
    </w:p>
    <w:p w14:paraId="117C9A93" w14:textId="77777777" w:rsidR="000724B2" w:rsidRPr="000724B2" w:rsidRDefault="000724B2" w:rsidP="00D5133F">
      <w:pPr>
        <w:spacing w:after="120" w:line="240" w:lineRule="auto"/>
        <w:jc w:val="both"/>
        <w:rPr>
          <w:b/>
          <w:lang w:val="bs-Cyrl-BA"/>
        </w:rPr>
      </w:pPr>
      <w:r w:rsidRPr="000724B2">
        <w:rPr>
          <w:i/>
          <w:iCs/>
          <w:lang w:val="bs-Cyrl-BA"/>
        </w:rPr>
        <w:t>Залажемо</w:t>
      </w:r>
      <w:r w:rsidRPr="000724B2">
        <w:rPr>
          <w:lang w:val="bs-Cyrl-BA"/>
        </w:rPr>
        <w:t xml:space="preserve"> се за континуирано унапређење наставних планова и програма на свим нивоима образовања, заснованих на </w:t>
      </w:r>
      <w:r w:rsidRPr="000724B2">
        <w:rPr>
          <w:b/>
          <w:bCs/>
          <w:lang w:val="bs-Cyrl-BA"/>
        </w:rPr>
        <w:t xml:space="preserve">исходима учења и вјештинама 21. вијека </w:t>
      </w:r>
      <w:r w:rsidRPr="000724B2">
        <w:rPr>
          <w:lang w:val="bs-Cyrl-BA"/>
        </w:rPr>
        <w:t xml:space="preserve">у сарадњи са свим релевантним актерима, како би у већој мјери били усклађени с потребама друштва и тржишта рада, те осигурали дјеци, ученицима и студентима знање, вјештине и компетенције укључујући </w:t>
      </w:r>
      <w:r w:rsidRPr="000724B2">
        <w:rPr>
          <w:b/>
          <w:lang w:val="bs-Cyrl-BA"/>
        </w:rPr>
        <w:t>трансверзалне/животне компетенције</w:t>
      </w:r>
      <w:r w:rsidRPr="000724B2">
        <w:rPr>
          <w:bCs/>
          <w:lang w:val="bs-Cyrl-BA"/>
        </w:rPr>
        <w:t>,</w:t>
      </w:r>
      <w:r w:rsidRPr="000724B2">
        <w:rPr>
          <w:lang w:val="bs-Cyrl-BA"/>
        </w:rPr>
        <w:t xml:space="preserve"> које ће допринијети развоју сваког појединца и социјалној укључености,</w:t>
      </w:r>
    </w:p>
    <w:p w14:paraId="3C2B8E34" w14:textId="56FF27DB" w:rsidR="000724B2" w:rsidRPr="000724B2" w:rsidRDefault="000724B2" w:rsidP="00D5133F">
      <w:pPr>
        <w:spacing w:after="120" w:line="240" w:lineRule="auto"/>
        <w:jc w:val="both"/>
        <w:rPr>
          <w:lang w:val="bs-Cyrl-BA"/>
        </w:rPr>
      </w:pPr>
      <w:r w:rsidRPr="000724B2">
        <w:rPr>
          <w:i/>
          <w:iCs/>
          <w:lang w:val="bs-Cyrl-BA"/>
        </w:rPr>
        <w:lastRenderedPageBreak/>
        <w:t>Улажемо</w:t>
      </w:r>
      <w:r w:rsidRPr="000724B2">
        <w:rPr>
          <w:lang w:val="bs-Cyrl-BA"/>
        </w:rPr>
        <w:t xml:space="preserve"> у изградњу </w:t>
      </w:r>
      <w:r w:rsidRPr="000724B2">
        <w:rPr>
          <w:b/>
          <w:bCs/>
          <w:lang w:val="bs-Cyrl-BA"/>
        </w:rPr>
        <w:t>капацитета наставног кадра</w:t>
      </w:r>
      <w:r w:rsidRPr="000724B2">
        <w:rPr>
          <w:lang w:val="bs-Cyrl-BA"/>
        </w:rPr>
        <w:t xml:space="preserve"> на свим нивоима образовања кроз </w:t>
      </w:r>
      <w:r w:rsidRPr="000724B2">
        <w:rPr>
          <w:b/>
          <w:bCs/>
          <w:lang w:val="bs-Cyrl-BA"/>
        </w:rPr>
        <w:t>јачање дигиталних и ППДМ</w:t>
      </w:r>
      <w:r w:rsidRPr="000724B2">
        <w:rPr>
          <w:rStyle w:val="FootnoteReference"/>
          <w:b/>
          <w:bCs/>
          <w:lang w:val="bs-Cyrl-BA"/>
        </w:rPr>
        <w:footnoteReference w:id="1"/>
      </w:r>
      <w:r w:rsidRPr="000724B2">
        <w:rPr>
          <w:b/>
          <w:bCs/>
          <w:lang w:val="bs-Cyrl-BA"/>
        </w:rPr>
        <w:t xml:space="preserve"> компетенција </w:t>
      </w:r>
      <w:r w:rsidRPr="000724B2">
        <w:rPr>
          <w:lang w:val="bs-Cyrl-BA"/>
        </w:rPr>
        <w:t>неопходних у постизању квалитетног образовног процеса у 21. вијеку,</w:t>
      </w:r>
    </w:p>
    <w:p w14:paraId="6DFB461E" w14:textId="77777777" w:rsidR="000724B2" w:rsidRPr="000724B2" w:rsidRDefault="000724B2" w:rsidP="00D5133F">
      <w:pPr>
        <w:spacing w:after="120" w:line="240" w:lineRule="auto"/>
        <w:jc w:val="both"/>
        <w:rPr>
          <w:rFonts w:cstheme="minorHAnsi"/>
          <w:lang w:val="bs-Cyrl-BA"/>
        </w:rPr>
      </w:pPr>
      <w:r w:rsidRPr="000724B2">
        <w:rPr>
          <w:rFonts w:cstheme="minorHAnsi"/>
          <w:i/>
          <w:lang w:val="bs-Cyrl-BA"/>
        </w:rPr>
        <w:t>Промовишемо</w:t>
      </w:r>
      <w:r w:rsidRPr="000724B2">
        <w:rPr>
          <w:rFonts w:cstheme="minorHAnsi"/>
          <w:lang w:val="bs-Cyrl-BA"/>
        </w:rPr>
        <w:t xml:space="preserve"> </w:t>
      </w:r>
      <w:r w:rsidRPr="000724B2">
        <w:rPr>
          <w:rFonts w:cstheme="minorHAnsi"/>
          <w:b/>
          <w:lang w:val="bs-Cyrl-BA"/>
        </w:rPr>
        <w:t>универзално и квалитетно предшколско образовање</w:t>
      </w:r>
      <w:r w:rsidRPr="000724B2">
        <w:rPr>
          <w:rFonts w:cstheme="minorHAnsi"/>
          <w:lang w:val="bs-Cyrl-BA"/>
        </w:rPr>
        <w:t>, односно унапређење обухвата дјеце предшколским образовањем, и то не само у години пред полазак у школу већ и у узрасту од 3 до 6 година, поготово за дјецу из осјетљивих категорија,</w:t>
      </w:r>
    </w:p>
    <w:p w14:paraId="5BBDD5F2" w14:textId="77777777" w:rsidR="000724B2" w:rsidRPr="000724B2" w:rsidRDefault="000724B2" w:rsidP="00D5133F">
      <w:pPr>
        <w:spacing w:after="120" w:line="240" w:lineRule="auto"/>
        <w:jc w:val="both"/>
        <w:rPr>
          <w:rFonts w:cstheme="minorHAnsi"/>
          <w:lang w:val="bs-Cyrl-BA"/>
        </w:rPr>
      </w:pPr>
      <w:r w:rsidRPr="000724B2">
        <w:rPr>
          <w:rFonts w:cstheme="minorHAnsi"/>
          <w:i/>
          <w:lang w:val="bs-Cyrl-BA"/>
        </w:rPr>
        <w:t>Проводимо</w:t>
      </w:r>
      <w:r w:rsidRPr="000724B2">
        <w:rPr>
          <w:rFonts w:cstheme="minorHAnsi"/>
          <w:lang w:val="bs-Cyrl-BA"/>
        </w:rPr>
        <w:t xml:space="preserve"> мјере </w:t>
      </w:r>
      <w:r w:rsidRPr="000724B2">
        <w:rPr>
          <w:rFonts w:cstheme="minorHAnsi"/>
          <w:b/>
          <w:lang w:val="bs-Cyrl-BA"/>
        </w:rPr>
        <w:t>смањивања раног напуштања школовања</w:t>
      </w:r>
      <w:r w:rsidRPr="000724B2">
        <w:rPr>
          <w:rFonts w:cstheme="minorHAnsi"/>
          <w:lang w:val="bs-Cyrl-BA"/>
        </w:rPr>
        <w:t xml:space="preserve"> као и броја особа без знања и вјештина кроз циљане обуке и програме доприносећи њиховој друштвеној интеграцији и на тржишту рада,</w:t>
      </w:r>
    </w:p>
    <w:p w14:paraId="1CC5983B" w14:textId="77777777" w:rsidR="000724B2" w:rsidRPr="000724B2" w:rsidRDefault="000724B2" w:rsidP="00D5133F">
      <w:pPr>
        <w:spacing w:after="120" w:line="240" w:lineRule="auto"/>
        <w:jc w:val="both"/>
        <w:rPr>
          <w:rFonts w:cstheme="minorHAnsi"/>
          <w:lang w:val="bs-Cyrl-BA"/>
        </w:rPr>
      </w:pPr>
      <w:r w:rsidRPr="000724B2">
        <w:rPr>
          <w:rFonts w:cstheme="minorHAnsi"/>
          <w:i/>
          <w:lang w:val="bs-Cyrl-BA"/>
        </w:rPr>
        <w:t>Подстичемо</w:t>
      </w:r>
      <w:r w:rsidRPr="000724B2">
        <w:rPr>
          <w:rFonts w:cstheme="minorHAnsi"/>
          <w:lang w:val="bs-Cyrl-BA"/>
        </w:rPr>
        <w:t xml:space="preserve"> </w:t>
      </w:r>
      <w:r w:rsidRPr="000724B2">
        <w:rPr>
          <w:rFonts w:cstheme="minorHAnsi"/>
          <w:b/>
          <w:lang w:val="bs-Cyrl-BA"/>
        </w:rPr>
        <w:t>доживотно учење</w:t>
      </w:r>
      <w:r w:rsidRPr="000724B2">
        <w:rPr>
          <w:rFonts w:cstheme="minorHAnsi"/>
          <w:lang w:val="bs-Cyrl-BA"/>
        </w:rPr>
        <w:t>, тј. континуирано стицање знања и вјештина (формалним, неформалним и информалним учењем), препознајући да је ефикасан систем доживотног учења могуће развити само уз активан ангажман и подршку власти, послодаваца, радника и образовних институција, због чега је поред раста јавних улагања у образовање одраслих, пуно важније створити и одговарајуће подстицаје како би се повећале инвестиције приватног сектора у развој људског капитала и обуку запослених,</w:t>
      </w:r>
    </w:p>
    <w:p w14:paraId="636DD7D0" w14:textId="77777777" w:rsidR="000724B2" w:rsidRPr="000724B2" w:rsidRDefault="000724B2" w:rsidP="00D5133F">
      <w:pPr>
        <w:spacing w:after="120" w:line="240" w:lineRule="auto"/>
        <w:jc w:val="both"/>
        <w:rPr>
          <w:rFonts w:cstheme="minorHAnsi"/>
          <w:lang w:val="bs-Cyrl-BA"/>
        </w:rPr>
      </w:pPr>
      <w:r w:rsidRPr="000724B2">
        <w:rPr>
          <w:rFonts w:cstheme="minorHAnsi"/>
          <w:i/>
          <w:iCs/>
          <w:lang w:val="bs-Cyrl-BA"/>
        </w:rPr>
        <w:t>Унапређујемо</w:t>
      </w:r>
      <w:r w:rsidRPr="000724B2">
        <w:rPr>
          <w:rFonts w:cstheme="minorHAnsi"/>
          <w:lang w:val="bs-Cyrl-BA"/>
        </w:rPr>
        <w:t xml:space="preserve"> </w:t>
      </w:r>
      <w:r w:rsidRPr="000724B2">
        <w:rPr>
          <w:rFonts w:cstheme="minorHAnsi"/>
          <w:b/>
          <w:lang w:val="bs-Cyrl-BA"/>
        </w:rPr>
        <w:t>процес дигитализације</w:t>
      </w:r>
      <w:r w:rsidRPr="000724B2">
        <w:rPr>
          <w:rFonts w:cstheme="minorHAnsi"/>
          <w:lang w:val="bs-Cyrl-BA"/>
        </w:rPr>
        <w:t xml:space="preserve"> </w:t>
      </w:r>
      <w:r w:rsidRPr="000724B2">
        <w:rPr>
          <w:rFonts w:cstheme="minorHAnsi"/>
          <w:b/>
          <w:bCs/>
          <w:lang w:val="bs-Cyrl-BA"/>
        </w:rPr>
        <w:t>у образовању</w:t>
      </w:r>
      <w:r w:rsidRPr="000724B2">
        <w:rPr>
          <w:rFonts w:cstheme="minorHAnsi"/>
          <w:lang w:val="bs-Cyrl-BA"/>
        </w:rPr>
        <w:t xml:space="preserve"> тежећи осигурању несметаног приступа дигиталном учењу кроз израду основних техничких стандарда за информационо-комуникацијске технологије у образовним системима у Босни и Херцеговини,</w:t>
      </w:r>
    </w:p>
    <w:p w14:paraId="07FD323D" w14:textId="77777777" w:rsidR="000724B2" w:rsidRPr="000724B2" w:rsidRDefault="000724B2" w:rsidP="00D5133F">
      <w:pPr>
        <w:spacing w:after="120" w:line="240" w:lineRule="auto"/>
        <w:jc w:val="both"/>
        <w:rPr>
          <w:rFonts w:cstheme="minorHAnsi"/>
          <w:i/>
          <w:lang w:val="bs-Cyrl-BA"/>
        </w:rPr>
      </w:pPr>
      <w:r w:rsidRPr="000724B2">
        <w:rPr>
          <w:rFonts w:cstheme="minorHAnsi"/>
          <w:i/>
          <w:lang w:val="bs-Cyrl-BA"/>
        </w:rPr>
        <w:t>Настојимо</w:t>
      </w:r>
      <w:r w:rsidRPr="000724B2">
        <w:rPr>
          <w:rFonts w:cstheme="minorHAnsi"/>
          <w:lang w:val="bs-Cyrl-BA"/>
        </w:rPr>
        <w:t xml:space="preserve"> да </w:t>
      </w:r>
      <w:r w:rsidRPr="000724B2">
        <w:rPr>
          <w:rFonts w:cstheme="minorHAnsi"/>
          <w:b/>
          <w:lang w:val="bs-Cyrl-BA"/>
        </w:rPr>
        <w:t>удио образовања у БДП-у и јавној потрошњи</w:t>
      </w:r>
      <w:r w:rsidRPr="000724B2">
        <w:rPr>
          <w:rFonts w:cstheme="minorHAnsi"/>
          <w:lang w:val="bs-Cyrl-BA"/>
        </w:rPr>
        <w:t xml:space="preserve"> износи од 4 до 6% БДП-а, односно 15 до 20% имајућу у виду </w:t>
      </w:r>
      <w:r w:rsidRPr="000724B2">
        <w:rPr>
          <w:rFonts w:cstheme="minorHAnsi"/>
          <w:i/>
          <w:lang w:val="bs-Cyrl-BA"/>
        </w:rPr>
        <w:t>Инчеонску декларацију</w:t>
      </w:r>
      <w:r w:rsidRPr="000724B2">
        <w:rPr>
          <w:rFonts w:cstheme="minorHAnsi"/>
          <w:lang w:val="bs-Cyrl-BA"/>
        </w:rPr>
        <w:t xml:space="preserve"> и </w:t>
      </w:r>
      <w:r w:rsidRPr="000724B2">
        <w:rPr>
          <w:rFonts w:cstheme="minorHAnsi"/>
          <w:i/>
          <w:lang w:val="bs-Cyrl-BA"/>
        </w:rPr>
        <w:t>Оквир за акцију за образовање до 2030. године,</w:t>
      </w:r>
    </w:p>
    <w:p w14:paraId="177D0250" w14:textId="77777777" w:rsidR="000724B2" w:rsidRPr="000724B2" w:rsidRDefault="000724B2" w:rsidP="00D5133F">
      <w:pPr>
        <w:spacing w:after="120" w:line="240" w:lineRule="auto"/>
        <w:jc w:val="both"/>
        <w:rPr>
          <w:rFonts w:cstheme="minorHAnsi"/>
          <w:lang w:val="bs-Cyrl-BA"/>
        </w:rPr>
      </w:pPr>
      <w:r w:rsidRPr="000724B2">
        <w:rPr>
          <w:rFonts w:cstheme="minorHAnsi"/>
          <w:i/>
          <w:lang w:val="bs-Cyrl-BA"/>
        </w:rPr>
        <w:t>Подстичемо</w:t>
      </w:r>
      <w:r w:rsidRPr="000724B2">
        <w:rPr>
          <w:rFonts w:cstheme="minorHAnsi"/>
          <w:lang w:val="bs-Cyrl-BA"/>
        </w:rPr>
        <w:t xml:space="preserve"> </w:t>
      </w:r>
      <w:r w:rsidRPr="000724B2">
        <w:rPr>
          <w:rFonts w:cstheme="minorHAnsi"/>
          <w:b/>
          <w:lang w:val="bs-Cyrl-BA"/>
        </w:rPr>
        <w:t>прерасподјелу средстава унутар постојећих буџета</w:t>
      </w:r>
      <w:r w:rsidRPr="000724B2">
        <w:rPr>
          <w:rFonts w:cstheme="minorHAnsi"/>
          <w:lang w:val="bs-Cyrl-BA"/>
        </w:rPr>
        <w:t xml:space="preserve"> како би се одговорило на постојеће изазове у приступу образовању и постизању једнаког, квалитетног и инклузивног образовања, </w:t>
      </w:r>
    </w:p>
    <w:p w14:paraId="31CE7AB9" w14:textId="77777777" w:rsidR="000724B2" w:rsidRPr="000724B2" w:rsidRDefault="000724B2" w:rsidP="00D5133F">
      <w:pPr>
        <w:spacing w:after="120" w:line="240" w:lineRule="auto"/>
        <w:jc w:val="both"/>
        <w:rPr>
          <w:rFonts w:cstheme="minorHAnsi"/>
          <w:lang w:val="bs-Cyrl-BA"/>
        </w:rPr>
      </w:pPr>
      <w:r w:rsidRPr="000724B2">
        <w:rPr>
          <w:rFonts w:cstheme="minorHAnsi"/>
          <w:i/>
          <w:lang w:val="bs-Cyrl-BA"/>
        </w:rPr>
        <w:t>Препознајемо</w:t>
      </w:r>
      <w:r w:rsidRPr="000724B2">
        <w:rPr>
          <w:rFonts w:cstheme="minorHAnsi"/>
          <w:lang w:val="bs-Cyrl-BA"/>
        </w:rPr>
        <w:t xml:space="preserve"> </w:t>
      </w:r>
      <w:r w:rsidRPr="000724B2">
        <w:rPr>
          <w:rFonts w:cstheme="minorHAnsi"/>
          <w:b/>
          <w:lang w:val="bs-Cyrl-BA"/>
        </w:rPr>
        <w:t>образовање као покретач</w:t>
      </w:r>
      <w:r w:rsidRPr="000724B2">
        <w:rPr>
          <w:rFonts w:cstheme="minorHAnsi"/>
          <w:lang w:val="bs-Cyrl-BA"/>
        </w:rPr>
        <w:t xml:space="preserve"> постизања „Оквира за реализацију Циљева одрживог развоја у Босни и Херцеговини“, који доприноси паметном расту и друштву једнаких прилика како би се реализирао принцип Агенде 2030„Нико не смије бити искључен“,</w:t>
      </w:r>
    </w:p>
    <w:p w14:paraId="5946E5DE" w14:textId="77777777" w:rsidR="000724B2" w:rsidRPr="000724B2" w:rsidRDefault="000724B2" w:rsidP="00D5133F">
      <w:pPr>
        <w:spacing w:after="120" w:line="240" w:lineRule="auto"/>
        <w:jc w:val="both"/>
        <w:rPr>
          <w:rFonts w:cstheme="minorHAnsi"/>
          <w:lang w:val="bs-Cyrl-BA"/>
        </w:rPr>
      </w:pPr>
      <w:r w:rsidRPr="000724B2">
        <w:rPr>
          <w:rFonts w:cstheme="minorHAnsi"/>
          <w:i/>
          <w:lang w:val="bs-Cyrl-BA"/>
        </w:rPr>
        <w:t>Јачамо</w:t>
      </w:r>
      <w:r w:rsidRPr="000724B2">
        <w:rPr>
          <w:rFonts w:cstheme="minorHAnsi"/>
          <w:lang w:val="bs-Cyrl-BA"/>
        </w:rPr>
        <w:t xml:space="preserve"> своје одговорности за </w:t>
      </w:r>
      <w:r w:rsidRPr="000724B2">
        <w:rPr>
          <w:rFonts w:cstheme="minorHAnsi"/>
          <w:b/>
          <w:lang w:val="bs-Cyrl-BA"/>
        </w:rPr>
        <w:t>постизање под-циљева у оквиру Циља одрживог развоја 4. „Квалитетно образовање“</w:t>
      </w:r>
      <w:r w:rsidRPr="000724B2">
        <w:rPr>
          <w:rFonts w:cstheme="minorHAnsi"/>
          <w:lang w:val="bs-Cyrl-BA"/>
        </w:rPr>
        <w:t>, развојем статистичких информационих система, чиме се унапређује информисано планирање јавних политика и буџета,</w:t>
      </w:r>
    </w:p>
    <w:p w14:paraId="0FED6D9D" w14:textId="77777777" w:rsidR="000724B2" w:rsidRPr="000724B2" w:rsidRDefault="000724B2" w:rsidP="00D5133F">
      <w:pPr>
        <w:spacing w:after="120" w:line="240" w:lineRule="auto"/>
        <w:jc w:val="both"/>
        <w:rPr>
          <w:rFonts w:cstheme="minorHAnsi"/>
          <w:lang w:val="bs-Cyrl-BA"/>
        </w:rPr>
      </w:pPr>
      <w:r w:rsidRPr="000724B2">
        <w:rPr>
          <w:rFonts w:cstheme="minorHAnsi"/>
          <w:i/>
          <w:lang w:val="bs-Cyrl-BA"/>
        </w:rPr>
        <w:t>Јачамо</w:t>
      </w:r>
      <w:r w:rsidRPr="000724B2">
        <w:rPr>
          <w:rFonts w:cstheme="minorHAnsi"/>
          <w:lang w:val="bs-Cyrl-BA"/>
        </w:rPr>
        <w:t xml:space="preserve"> приступ </w:t>
      </w:r>
      <w:r w:rsidRPr="000724B2">
        <w:rPr>
          <w:rFonts w:cstheme="minorHAnsi"/>
          <w:b/>
          <w:lang w:val="bs-Cyrl-BA"/>
        </w:rPr>
        <w:t>родне равноправности и оснаживања жена</w:t>
      </w:r>
      <w:r w:rsidRPr="000724B2">
        <w:rPr>
          <w:rFonts w:cstheme="minorHAnsi"/>
          <w:lang w:val="bs-Cyrl-BA"/>
        </w:rPr>
        <w:t xml:space="preserve"> како би осигурали да родно одговорне мјере које трансформишу образовни систем буду приоритет.</w:t>
      </w:r>
    </w:p>
    <w:p w14:paraId="2292CC18" w14:textId="77777777" w:rsidR="000724B2" w:rsidRPr="000724B2" w:rsidRDefault="000724B2" w:rsidP="00D5133F">
      <w:pPr>
        <w:spacing w:after="120" w:line="240" w:lineRule="auto"/>
        <w:ind w:left="360"/>
        <w:jc w:val="both"/>
        <w:rPr>
          <w:lang w:val="bs-Cyrl-BA"/>
        </w:rPr>
      </w:pPr>
    </w:p>
    <w:sectPr w:rsidR="000724B2" w:rsidRPr="000724B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F16F9" w14:textId="77777777" w:rsidR="00B81707" w:rsidRDefault="00B81707" w:rsidP="00AC0CCA">
      <w:pPr>
        <w:spacing w:after="0" w:line="240" w:lineRule="auto"/>
      </w:pPr>
      <w:r>
        <w:separator/>
      </w:r>
    </w:p>
  </w:endnote>
  <w:endnote w:type="continuationSeparator" w:id="0">
    <w:p w14:paraId="2930F238" w14:textId="77777777" w:rsidR="00B81707" w:rsidRDefault="00B81707" w:rsidP="00AC0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5B1F" w14:textId="77777777" w:rsidR="00B93176" w:rsidRDefault="00B93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8606" w14:textId="77777777" w:rsidR="00B93176" w:rsidRDefault="00B931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9C51" w14:textId="77777777" w:rsidR="00B93176" w:rsidRDefault="00B93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5670A" w14:textId="77777777" w:rsidR="00B81707" w:rsidRDefault="00B81707" w:rsidP="00AC0CCA">
      <w:pPr>
        <w:spacing w:after="0" w:line="240" w:lineRule="auto"/>
      </w:pPr>
      <w:r>
        <w:separator/>
      </w:r>
    </w:p>
  </w:footnote>
  <w:footnote w:type="continuationSeparator" w:id="0">
    <w:p w14:paraId="39CE0C9E" w14:textId="77777777" w:rsidR="00B81707" w:rsidRDefault="00B81707" w:rsidP="00AC0CCA">
      <w:pPr>
        <w:spacing w:after="0" w:line="240" w:lineRule="auto"/>
      </w:pPr>
      <w:r>
        <w:continuationSeparator/>
      </w:r>
    </w:p>
  </w:footnote>
  <w:footnote w:id="1">
    <w:p w14:paraId="74AC8710" w14:textId="77777777" w:rsidR="000724B2" w:rsidRPr="004208C5" w:rsidRDefault="000724B2" w:rsidP="00D5133F">
      <w:pPr>
        <w:pStyle w:val="FootnoteText"/>
        <w:rPr>
          <w:lang w:val="hr-HR"/>
        </w:rPr>
      </w:pPr>
      <w:r>
        <w:rPr>
          <w:rStyle w:val="FootnoteReference"/>
        </w:rPr>
        <w:footnoteRef/>
      </w:r>
      <w:r>
        <w:t xml:space="preserve"> </w:t>
      </w:r>
      <w:r w:rsidRPr="004208C5">
        <w:rPr>
          <w:lang w:val="hr-HR"/>
        </w:rPr>
        <w:t>Педагошко-психолошко-дидактичко-методичке</w:t>
      </w:r>
      <w:r>
        <w:rPr>
          <w:rFonts w:ascii="Segoe UI" w:hAnsi="Segoe UI" w:cs="Segoe UI"/>
          <w:color w:val="242424"/>
          <w:sz w:val="21"/>
          <w:szCs w:val="21"/>
          <w:shd w:val="clear" w:color="auto" w:fill="FFFFFF"/>
        </w:rPr>
        <w:t xml:space="preserve"> </w:t>
      </w:r>
      <w:r>
        <w:rPr>
          <w:lang w:val="hr-HR"/>
        </w:rPr>
        <w:t>компетенције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626A" w14:textId="77777777" w:rsidR="00B93176" w:rsidRDefault="00B93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F83A" w14:textId="3B2118C4" w:rsidR="00B93176" w:rsidRDefault="00B931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78E3" w14:textId="77777777" w:rsidR="00B93176" w:rsidRDefault="00B93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696189"/>
    <w:multiLevelType w:val="hybridMultilevel"/>
    <w:tmpl w:val="200B0D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C84A75"/>
    <w:multiLevelType w:val="hybridMultilevel"/>
    <w:tmpl w:val="65EEB416"/>
    <w:lvl w:ilvl="0" w:tplc="10FAB398">
      <w:start w:val="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20843"/>
    <w:multiLevelType w:val="hybridMultilevel"/>
    <w:tmpl w:val="3E76A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A01BB"/>
    <w:multiLevelType w:val="hybridMultilevel"/>
    <w:tmpl w:val="095C5A3A"/>
    <w:lvl w:ilvl="0" w:tplc="10FAB398">
      <w:start w:val="2"/>
      <w:numFmt w:val="bullet"/>
      <w:lvlText w:val="-"/>
      <w:lvlJc w:val="left"/>
      <w:pPr>
        <w:ind w:left="720" w:hanging="360"/>
      </w:pPr>
      <w:rPr>
        <w:rFonts w:ascii="Calibri Light" w:eastAsiaTheme="minorHAnsi" w:hAnsi="Calibri Light" w:cs="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1F0BC4"/>
    <w:multiLevelType w:val="hybridMultilevel"/>
    <w:tmpl w:val="3BF6CE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46B50"/>
    <w:multiLevelType w:val="hybridMultilevel"/>
    <w:tmpl w:val="44BA2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6038CC"/>
    <w:multiLevelType w:val="hybridMultilevel"/>
    <w:tmpl w:val="66AC3CE8"/>
    <w:lvl w:ilvl="0" w:tplc="10FAB398">
      <w:start w:val="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844AE"/>
    <w:multiLevelType w:val="multilevel"/>
    <w:tmpl w:val="56B029AC"/>
    <w:lvl w:ilvl="0">
      <w:start w:val="1"/>
      <w:numFmt w:val="decimal"/>
      <w:lvlText w:val="%1."/>
      <w:lvlJc w:val="left"/>
      <w:pPr>
        <w:ind w:left="720" w:hanging="360"/>
      </w:pPr>
      <w:rPr>
        <w:rFonts w:hint="default"/>
        <w:color w:val="FFFFFF" w:themeColor="background1"/>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6906F8A"/>
    <w:multiLevelType w:val="hybridMultilevel"/>
    <w:tmpl w:val="98F43E92"/>
    <w:lvl w:ilvl="0" w:tplc="10FAB398">
      <w:start w:val="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393DF0"/>
    <w:multiLevelType w:val="hybridMultilevel"/>
    <w:tmpl w:val="AB7C2DAE"/>
    <w:lvl w:ilvl="0" w:tplc="08090017">
      <w:start w:val="1"/>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EF42A6"/>
    <w:multiLevelType w:val="hybridMultilevel"/>
    <w:tmpl w:val="C8C6F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53AEF"/>
    <w:multiLevelType w:val="hybridMultilevel"/>
    <w:tmpl w:val="EC96F2C4"/>
    <w:lvl w:ilvl="0" w:tplc="0B3C73E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D96DD9"/>
    <w:multiLevelType w:val="hybridMultilevel"/>
    <w:tmpl w:val="F9665D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4B4629"/>
    <w:multiLevelType w:val="hybridMultilevel"/>
    <w:tmpl w:val="06B0FE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D0324"/>
    <w:multiLevelType w:val="hybridMultilevel"/>
    <w:tmpl w:val="3BF6CE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C4689E"/>
    <w:multiLevelType w:val="hybridMultilevel"/>
    <w:tmpl w:val="ED28A19C"/>
    <w:lvl w:ilvl="0" w:tplc="7F6CE8C0">
      <w:numFmt w:val="bullet"/>
      <w:lvlText w:val=""/>
      <w:lvlJc w:val="left"/>
      <w:pPr>
        <w:ind w:left="720" w:hanging="360"/>
      </w:pPr>
      <w:rPr>
        <w:rFonts w:ascii="Symbol" w:eastAsia="Calibri" w:hAnsi="Symbol" w:cs="Calibri"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B87D16"/>
    <w:multiLevelType w:val="hybridMultilevel"/>
    <w:tmpl w:val="A0D217B6"/>
    <w:lvl w:ilvl="0" w:tplc="60DC6080">
      <w:start w:val="3"/>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ED4F98"/>
    <w:multiLevelType w:val="hybridMultilevel"/>
    <w:tmpl w:val="5E76735C"/>
    <w:lvl w:ilvl="0" w:tplc="10FAB398">
      <w:start w:val="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984B7C"/>
    <w:multiLevelType w:val="hybridMultilevel"/>
    <w:tmpl w:val="3BF6CE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8"/>
  </w:num>
  <w:num w:numId="4">
    <w:abstractNumId w:val="14"/>
  </w:num>
  <w:num w:numId="5">
    <w:abstractNumId w:val="4"/>
  </w:num>
  <w:num w:numId="6">
    <w:abstractNumId w:val="0"/>
  </w:num>
  <w:num w:numId="7">
    <w:abstractNumId w:val="17"/>
  </w:num>
  <w:num w:numId="8">
    <w:abstractNumId w:val="1"/>
  </w:num>
  <w:num w:numId="9">
    <w:abstractNumId w:val="11"/>
  </w:num>
  <w:num w:numId="10">
    <w:abstractNumId w:val="6"/>
  </w:num>
  <w:num w:numId="11">
    <w:abstractNumId w:val="12"/>
  </w:num>
  <w:num w:numId="12">
    <w:abstractNumId w:val="15"/>
  </w:num>
  <w:num w:numId="13">
    <w:abstractNumId w:val="7"/>
  </w:num>
  <w:num w:numId="14">
    <w:abstractNumId w:val="5"/>
  </w:num>
  <w:num w:numId="15">
    <w:abstractNumId w:val="3"/>
  </w:num>
  <w:num w:numId="16">
    <w:abstractNumId w:val="8"/>
  </w:num>
  <w:num w:numId="17">
    <w:abstractNumId w:val="2"/>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35A"/>
    <w:rsid w:val="00020C33"/>
    <w:rsid w:val="0004084C"/>
    <w:rsid w:val="000724B2"/>
    <w:rsid w:val="000C5E15"/>
    <w:rsid w:val="000D412F"/>
    <w:rsid w:val="000D7C85"/>
    <w:rsid w:val="000F48A5"/>
    <w:rsid w:val="000F66A9"/>
    <w:rsid w:val="001134DF"/>
    <w:rsid w:val="001142CA"/>
    <w:rsid w:val="001273FD"/>
    <w:rsid w:val="0018597F"/>
    <w:rsid w:val="001A2C45"/>
    <w:rsid w:val="001B30BD"/>
    <w:rsid w:val="001C3F86"/>
    <w:rsid w:val="001E0691"/>
    <w:rsid w:val="001F4384"/>
    <w:rsid w:val="002068B9"/>
    <w:rsid w:val="00211356"/>
    <w:rsid w:val="0022318D"/>
    <w:rsid w:val="00246F07"/>
    <w:rsid w:val="002560F7"/>
    <w:rsid w:val="00266618"/>
    <w:rsid w:val="00276579"/>
    <w:rsid w:val="00281893"/>
    <w:rsid w:val="002C1CB0"/>
    <w:rsid w:val="002C7349"/>
    <w:rsid w:val="002F6208"/>
    <w:rsid w:val="00313C21"/>
    <w:rsid w:val="0032325F"/>
    <w:rsid w:val="00351AA4"/>
    <w:rsid w:val="0037028D"/>
    <w:rsid w:val="0038348F"/>
    <w:rsid w:val="003A5BFE"/>
    <w:rsid w:val="003B1FEA"/>
    <w:rsid w:val="003B5ABF"/>
    <w:rsid w:val="003D6879"/>
    <w:rsid w:val="00415F82"/>
    <w:rsid w:val="004208C5"/>
    <w:rsid w:val="004521FB"/>
    <w:rsid w:val="0045688A"/>
    <w:rsid w:val="00457874"/>
    <w:rsid w:val="004767FF"/>
    <w:rsid w:val="004826D6"/>
    <w:rsid w:val="00484624"/>
    <w:rsid w:val="004B14F0"/>
    <w:rsid w:val="004E29AB"/>
    <w:rsid w:val="004F6584"/>
    <w:rsid w:val="005009A1"/>
    <w:rsid w:val="005062C8"/>
    <w:rsid w:val="00525739"/>
    <w:rsid w:val="00532D1E"/>
    <w:rsid w:val="005362DC"/>
    <w:rsid w:val="0054033F"/>
    <w:rsid w:val="00546AF5"/>
    <w:rsid w:val="0057346C"/>
    <w:rsid w:val="005877E7"/>
    <w:rsid w:val="00596970"/>
    <w:rsid w:val="005A06FE"/>
    <w:rsid w:val="005B07E6"/>
    <w:rsid w:val="005B31AE"/>
    <w:rsid w:val="005D7D70"/>
    <w:rsid w:val="005E24FB"/>
    <w:rsid w:val="005F31F5"/>
    <w:rsid w:val="00600D05"/>
    <w:rsid w:val="0060338D"/>
    <w:rsid w:val="00627BA1"/>
    <w:rsid w:val="00660546"/>
    <w:rsid w:val="00662A16"/>
    <w:rsid w:val="00676395"/>
    <w:rsid w:val="006C6D21"/>
    <w:rsid w:val="006E1699"/>
    <w:rsid w:val="00724B9E"/>
    <w:rsid w:val="00733CA8"/>
    <w:rsid w:val="0073676E"/>
    <w:rsid w:val="00754CFC"/>
    <w:rsid w:val="007674EF"/>
    <w:rsid w:val="00790749"/>
    <w:rsid w:val="007A12E7"/>
    <w:rsid w:val="007D1A8B"/>
    <w:rsid w:val="007E79DC"/>
    <w:rsid w:val="007F0064"/>
    <w:rsid w:val="007F137E"/>
    <w:rsid w:val="007F2531"/>
    <w:rsid w:val="007F628C"/>
    <w:rsid w:val="00804209"/>
    <w:rsid w:val="00820A55"/>
    <w:rsid w:val="00831549"/>
    <w:rsid w:val="00837815"/>
    <w:rsid w:val="00861955"/>
    <w:rsid w:val="00865548"/>
    <w:rsid w:val="0089619D"/>
    <w:rsid w:val="00897F63"/>
    <w:rsid w:val="008C47F1"/>
    <w:rsid w:val="008D6923"/>
    <w:rsid w:val="008D7E31"/>
    <w:rsid w:val="00941D21"/>
    <w:rsid w:val="00956F55"/>
    <w:rsid w:val="00962FE3"/>
    <w:rsid w:val="00990D5E"/>
    <w:rsid w:val="009A312F"/>
    <w:rsid w:val="009A70A8"/>
    <w:rsid w:val="009C5EC0"/>
    <w:rsid w:val="009E6AEA"/>
    <w:rsid w:val="00A113D6"/>
    <w:rsid w:val="00A24EEC"/>
    <w:rsid w:val="00A365A5"/>
    <w:rsid w:val="00A37F7B"/>
    <w:rsid w:val="00A46FF7"/>
    <w:rsid w:val="00A50AD4"/>
    <w:rsid w:val="00A624B3"/>
    <w:rsid w:val="00A91005"/>
    <w:rsid w:val="00AA6DFA"/>
    <w:rsid w:val="00AC0CCA"/>
    <w:rsid w:val="00AC1D39"/>
    <w:rsid w:val="00B0435A"/>
    <w:rsid w:val="00B161F3"/>
    <w:rsid w:val="00B3230E"/>
    <w:rsid w:val="00B64C2A"/>
    <w:rsid w:val="00B81707"/>
    <w:rsid w:val="00B92708"/>
    <w:rsid w:val="00B93176"/>
    <w:rsid w:val="00BE3645"/>
    <w:rsid w:val="00BE53F3"/>
    <w:rsid w:val="00BE77BF"/>
    <w:rsid w:val="00C04C1A"/>
    <w:rsid w:val="00C3155F"/>
    <w:rsid w:val="00C86D8A"/>
    <w:rsid w:val="00C93F51"/>
    <w:rsid w:val="00CF1E86"/>
    <w:rsid w:val="00CF5B90"/>
    <w:rsid w:val="00D02C1B"/>
    <w:rsid w:val="00D14B8B"/>
    <w:rsid w:val="00D377D7"/>
    <w:rsid w:val="00D42083"/>
    <w:rsid w:val="00D845EE"/>
    <w:rsid w:val="00DA1A13"/>
    <w:rsid w:val="00DC693C"/>
    <w:rsid w:val="00DD4CCA"/>
    <w:rsid w:val="00DE036A"/>
    <w:rsid w:val="00E03566"/>
    <w:rsid w:val="00E043E8"/>
    <w:rsid w:val="00E15424"/>
    <w:rsid w:val="00E244DC"/>
    <w:rsid w:val="00E43277"/>
    <w:rsid w:val="00E54C04"/>
    <w:rsid w:val="00E62503"/>
    <w:rsid w:val="00E62B4E"/>
    <w:rsid w:val="00E74725"/>
    <w:rsid w:val="00EA0454"/>
    <w:rsid w:val="00EA183E"/>
    <w:rsid w:val="00EA5DF7"/>
    <w:rsid w:val="00EA7CD7"/>
    <w:rsid w:val="00EF19AC"/>
    <w:rsid w:val="00F14688"/>
    <w:rsid w:val="00F323F3"/>
    <w:rsid w:val="00F438BA"/>
    <w:rsid w:val="00F663A5"/>
    <w:rsid w:val="00F813BD"/>
    <w:rsid w:val="00F86B6E"/>
    <w:rsid w:val="00FD622D"/>
    <w:rsid w:val="00FE2788"/>
    <w:rsid w:val="00FE75BC"/>
    <w:rsid w:val="04AD8F66"/>
    <w:rsid w:val="0D519EF1"/>
    <w:rsid w:val="1F45300C"/>
    <w:rsid w:val="3B3A538A"/>
    <w:rsid w:val="43CAA320"/>
    <w:rsid w:val="4C2661BD"/>
    <w:rsid w:val="5E29557E"/>
    <w:rsid w:val="63ACC1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43706"/>
  <w15:chartTrackingRefBased/>
  <w15:docId w15:val="{0EC94DAD-DE89-4433-8AF8-06C4D947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35A"/>
  </w:style>
  <w:style w:type="paragraph" w:styleId="Heading2">
    <w:name w:val="heading 2"/>
    <w:basedOn w:val="Normal"/>
    <w:next w:val="Normal"/>
    <w:link w:val="Heading2Char"/>
    <w:uiPriority w:val="9"/>
    <w:unhideWhenUsed/>
    <w:qFormat/>
    <w:rsid w:val="00AC0CCA"/>
    <w:pPr>
      <w:keepNext/>
      <w:keepLines/>
      <w:overflowPunct w:val="0"/>
      <w:autoSpaceDE w:val="0"/>
      <w:autoSpaceDN w:val="0"/>
      <w:adjustRightInd w:val="0"/>
      <w:spacing w:before="40" w:after="0" w:line="240" w:lineRule="auto"/>
      <w:textAlignment w:val="baseline"/>
      <w:outlineLvl w:val="1"/>
    </w:pPr>
    <w:rPr>
      <w:rFonts w:ascii="Calibri Light" w:eastAsia="Times New Roman" w:hAnsi="Calibri Light" w:cs="Times New Roman"/>
      <w:color w:val="2F5496"/>
      <w:sz w:val="26"/>
      <w:szCs w:val="26"/>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 (numbered (a)),List Paragraph Char Char Char,Use Case List Paragraph,List Paragraph2,Colorful List - Accent 11,Dot pt,F5 List Paragraph,Indicator Text,Numbered Para 1,Bullet 1,List Paragraph12,Bullet Points"/>
    <w:basedOn w:val="Normal"/>
    <w:link w:val="ListParagraphChar"/>
    <w:uiPriority w:val="34"/>
    <w:qFormat/>
    <w:rsid w:val="00B0435A"/>
    <w:pPr>
      <w:ind w:left="720"/>
      <w:contextualSpacing/>
    </w:pPr>
  </w:style>
  <w:style w:type="paragraph" w:customStyle="1" w:styleId="Default">
    <w:name w:val="Default"/>
    <w:rsid w:val="00B0435A"/>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8">
    <w:name w:val="Pa8"/>
    <w:basedOn w:val="Default"/>
    <w:next w:val="Default"/>
    <w:uiPriority w:val="99"/>
    <w:rsid w:val="00B0435A"/>
    <w:pPr>
      <w:spacing w:line="281" w:lineRule="atLeast"/>
    </w:pPr>
    <w:rPr>
      <w:rFonts w:cstheme="minorBidi"/>
      <w:color w:val="auto"/>
    </w:rPr>
  </w:style>
  <w:style w:type="paragraph" w:styleId="NoSpacing">
    <w:name w:val="No Spacing"/>
    <w:uiPriority w:val="1"/>
    <w:qFormat/>
    <w:rsid w:val="00B0435A"/>
    <w:pPr>
      <w:spacing w:after="0" w:line="240" w:lineRule="auto"/>
    </w:pPr>
  </w:style>
  <w:style w:type="character" w:customStyle="1" w:styleId="A6">
    <w:name w:val="A6"/>
    <w:uiPriority w:val="99"/>
    <w:rsid w:val="00E74725"/>
    <w:rPr>
      <w:rFonts w:ascii="Calibri" w:hAnsi="Calibri" w:cs="Calibri"/>
      <w:color w:val="000000"/>
      <w:sz w:val="21"/>
      <w:szCs w:val="21"/>
    </w:rPr>
  </w:style>
  <w:style w:type="paragraph" w:customStyle="1" w:styleId="Pa7">
    <w:name w:val="Pa7"/>
    <w:basedOn w:val="Default"/>
    <w:next w:val="Default"/>
    <w:uiPriority w:val="99"/>
    <w:rsid w:val="00A113D6"/>
    <w:pPr>
      <w:spacing w:line="211" w:lineRule="atLeast"/>
    </w:pPr>
    <w:rPr>
      <w:rFonts w:cstheme="minorBidi"/>
      <w:color w:val="auto"/>
    </w:rPr>
  </w:style>
  <w:style w:type="paragraph" w:styleId="BalloonText">
    <w:name w:val="Balloon Text"/>
    <w:basedOn w:val="Normal"/>
    <w:link w:val="BalloonTextChar"/>
    <w:uiPriority w:val="99"/>
    <w:semiHidden/>
    <w:unhideWhenUsed/>
    <w:rsid w:val="00A37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F7B"/>
    <w:rPr>
      <w:rFonts w:ascii="Segoe UI" w:hAnsi="Segoe UI" w:cs="Segoe UI"/>
      <w:sz w:val="18"/>
      <w:szCs w:val="18"/>
    </w:rPr>
  </w:style>
  <w:style w:type="character" w:styleId="CommentReference">
    <w:name w:val="annotation reference"/>
    <w:basedOn w:val="DefaultParagraphFont"/>
    <w:uiPriority w:val="99"/>
    <w:semiHidden/>
    <w:unhideWhenUsed/>
    <w:rsid w:val="00CF5B90"/>
    <w:rPr>
      <w:sz w:val="16"/>
      <w:szCs w:val="16"/>
    </w:rPr>
  </w:style>
  <w:style w:type="paragraph" w:styleId="CommentText">
    <w:name w:val="annotation text"/>
    <w:basedOn w:val="Normal"/>
    <w:link w:val="CommentTextChar"/>
    <w:uiPriority w:val="99"/>
    <w:semiHidden/>
    <w:unhideWhenUsed/>
    <w:rsid w:val="00CF5B90"/>
    <w:pPr>
      <w:spacing w:line="240" w:lineRule="auto"/>
    </w:pPr>
    <w:rPr>
      <w:sz w:val="20"/>
      <w:szCs w:val="20"/>
    </w:rPr>
  </w:style>
  <w:style w:type="character" w:customStyle="1" w:styleId="CommentTextChar">
    <w:name w:val="Comment Text Char"/>
    <w:basedOn w:val="DefaultParagraphFont"/>
    <w:link w:val="CommentText"/>
    <w:uiPriority w:val="99"/>
    <w:semiHidden/>
    <w:rsid w:val="00CF5B90"/>
    <w:rPr>
      <w:sz w:val="20"/>
      <w:szCs w:val="20"/>
    </w:rPr>
  </w:style>
  <w:style w:type="paragraph" w:styleId="CommentSubject">
    <w:name w:val="annotation subject"/>
    <w:basedOn w:val="CommentText"/>
    <w:next w:val="CommentText"/>
    <w:link w:val="CommentSubjectChar"/>
    <w:uiPriority w:val="99"/>
    <w:semiHidden/>
    <w:unhideWhenUsed/>
    <w:rsid w:val="00CF5B90"/>
    <w:rPr>
      <w:b/>
      <w:bCs/>
    </w:rPr>
  </w:style>
  <w:style w:type="character" w:customStyle="1" w:styleId="CommentSubjectChar">
    <w:name w:val="Comment Subject Char"/>
    <w:basedOn w:val="CommentTextChar"/>
    <w:link w:val="CommentSubject"/>
    <w:uiPriority w:val="99"/>
    <w:semiHidden/>
    <w:rsid w:val="00CF5B90"/>
    <w:rPr>
      <w:b/>
      <w:bCs/>
      <w:sz w:val="20"/>
      <w:szCs w:val="20"/>
    </w:rPr>
  </w:style>
  <w:style w:type="table" w:styleId="TableGrid">
    <w:name w:val="Table Grid"/>
    <w:basedOn w:val="TableNormal"/>
    <w:uiPriority w:val="39"/>
    <w:rsid w:val="0004084C"/>
    <w:pPr>
      <w:spacing w:after="0" w:line="240" w:lineRule="auto"/>
    </w:pPr>
    <w:rPr>
      <w:szCs w:val="20"/>
      <w:lang w:val="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ormal3">
    <w:name w:val="P68B1DB1-Normal3"/>
    <w:basedOn w:val="Normal"/>
    <w:rsid w:val="0004084C"/>
    <w:rPr>
      <w:rFonts w:cstheme="minorHAnsi"/>
      <w:szCs w:val="20"/>
      <w:lang w:val="hr"/>
    </w:rPr>
  </w:style>
  <w:style w:type="character" w:customStyle="1" w:styleId="ListParagraphChar">
    <w:name w:val="List Paragraph Char"/>
    <w:aliases w:val="List Paragraph1 Char,List Paragraph (numbered (a)) Char,List Paragraph Char Char Char Char,Use Case List Paragraph Char,List Paragraph2 Char,Colorful List - Accent 11 Char,Dot pt Char,F5 List Paragraph Char,Indicator Text Char"/>
    <w:link w:val="ListParagraph"/>
    <w:uiPriority w:val="34"/>
    <w:locked/>
    <w:rsid w:val="005877E7"/>
  </w:style>
  <w:style w:type="character" w:styleId="FootnoteReference">
    <w:name w:val="footnote reference"/>
    <w:aliases w:val="ftref,BVI fnr,Footnote text,Footnote Reference Number,Footnote Reference_LVL6,Footnote Reference_LVL61,Footnote Reference_LVL62,Footnote Reference_LVL63,Footnote Reference_LVL64,fr,16 Point,Superscript 6 Point,Times 10 Point,4_G,Ref,o"/>
    <w:link w:val="Char2"/>
    <w:unhideWhenUsed/>
    <w:qFormat/>
    <w:rsid w:val="00AC0CCA"/>
    <w:rPr>
      <w:vertAlign w:val="superscript"/>
    </w:rPr>
  </w:style>
  <w:style w:type="paragraph" w:customStyle="1" w:styleId="Char2">
    <w:name w:val="Char2"/>
    <w:basedOn w:val="Normal"/>
    <w:link w:val="FootnoteReference"/>
    <w:uiPriority w:val="99"/>
    <w:rsid w:val="00AC0CCA"/>
    <w:pPr>
      <w:spacing w:line="240" w:lineRule="exact"/>
    </w:pPr>
    <w:rPr>
      <w:vertAlign w:val="superscript"/>
    </w:rPr>
  </w:style>
  <w:style w:type="paragraph" w:styleId="FootnoteText">
    <w:name w:val="footnote text"/>
    <w:aliases w:val="FOOTNOTES,fn,single space,Footnote Text Char2 Char,Footnote Text Char1 Char Char,Footnote Text Char2 Char Char Char,Footnote Text Char1 Char Char Char Char,Footnote Text Char2 Char Char Char Char Char,ft,footnote text,Lábjegyzet-szöveg,f"/>
    <w:basedOn w:val="Normal"/>
    <w:link w:val="FootnoteTextChar"/>
    <w:unhideWhenUsed/>
    <w:qFormat/>
    <w:rsid w:val="00AC0CCA"/>
    <w:pPr>
      <w:spacing w:after="0" w:line="240" w:lineRule="auto"/>
    </w:pPr>
    <w:rPr>
      <w:rFonts w:ascii="Calibri" w:eastAsia="Calibri" w:hAnsi="Calibri" w:cs="Times New Roman"/>
      <w:sz w:val="20"/>
      <w:szCs w:val="20"/>
      <w:lang w:val="en-GB"/>
    </w:rPr>
  </w:style>
  <w:style w:type="character" w:customStyle="1" w:styleId="FootnoteTextChar">
    <w:name w:val="Footnote Text Char"/>
    <w:aliases w:val="FOOTNOTES Char,fn Char,single space Char,Footnote Text Char2 Char Char,Footnote Text Char1 Char Char Char,Footnote Text Char2 Char Char Char Char,Footnote Text Char1 Char Char Char Char Char,ft Char,footnote text Char,f Char"/>
    <w:basedOn w:val="DefaultParagraphFont"/>
    <w:link w:val="FootnoteText"/>
    <w:uiPriority w:val="99"/>
    <w:qFormat/>
    <w:rsid w:val="00AC0CCA"/>
    <w:rPr>
      <w:rFonts w:ascii="Calibri" w:eastAsia="Calibri" w:hAnsi="Calibri" w:cs="Times New Roman"/>
      <w:sz w:val="20"/>
      <w:szCs w:val="20"/>
      <w:lang w:val="en-GB"/>
    </w:rPr>
  </w:style>
  <w:style w:type="character" w:styleId="SubtleEmphasis">
    <w:name w:val="Subtle Emphasis"/>
    <w:basedOn w:val="DefaultParagraphFont"/>
    <w:uiPriority w:val="19"/>
    <w:qFormat/>
    <w:rsid w:val="00AC0CCA"/>
    <w:rPr>
      <w:i/>
      <w:iCs/>
      <w:color w:val="404040" w:themeColor="text1" w:themeTint="BF"/>
    </w:rPr>
  </w:style>
  <w:style w:type="character" w:customStyle="1" w:styleId="Heading2Char">
    <w:name w:val="Heading 2 Char"/>
    <w:basedOn w:val="DefaultParagraphFont"/>
    <w:link w:val="Heading2"/>
    <w:uiPriority w:val="9"/>
    <w:rsid w:val="00AC0CCA"/>
    <w:rPr>
      <w:rFonts w:ascii="Calibri Light" w:eastAsia="Times New Roman" w:hAnsi="Calibri Light" w:cs="Times New Roman"/>
      <w:color w:val="2F5496"/>
      <w:sz w:val="26"/>
      <w:szCs w:val="26"/>
      <w:lang w:val="bs-Latn-BA"/>
    </w:rPr>
  </w:style>
  <w:style w:type="paragraph" w:customStyle="1" w:styleId="P68B1DB1-Normal1">
    <w:name w:val="P68B1DB1-Normal1"/>
    <w:basedOn w:val="Normal"/>
    <w:rsid w:val="00B92708"/>
    <w:rPr>
      <w:rFonts w:cstheme="minorHAnsi"/>
      <w:b/>
      <w:color w:val="0070C0"/>
      <w:sz w:val="28"/>
      <w:szCs w:val="20"/>
      <w:lang w:val="hr"/>
    </w:rPr>
  </w:style>
  <w:style w:type="paragraph" w:customStyle="1" w:styleId="P68B1DB1-Normal2">
    <w:name w:val="P68B1DB1-Normal2"/>
    <w:basedOn w:val="Normal"/>
    <w:rsid w:val="00B92708"/>
    <w:rPr>
      <w:rFonts w:cstheme="minorHAnsi"/>
      <w:b/>
      <w:color w:val="0070C0"/>
      <w:szCs w:val="20"/>
      <w:lang w:val="hr"/>
    </w:rPr>
  </w:style>
  <w:style w:type="character" w:customStyle="1" w:styleId="None">
    <w:name w:val="None"/>
    <w:rsid w:val="00EF19AC"/>
  </w:style>
  <w:style w:type="paragraph" w:customStyle="1" w:styleId="Body">
    <w:name w:val="Body"/>
    <w:rsid w:val="00EF19A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paragraph" w:styleId="HTMLPreformatted">
    <w:name w:val="HTML Preformatted"/>
    <w:basedOn w:val="Normal"/>
    <w:link w:val="HTMLPreformattedChar"/>
    <w:uiPriority w:val="99"/>
    <w:semiHidden/>
    <w:unhideWhenUsed/>
    <w:rsid w:val="002C7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2C7349"/>
    <w:rPr>
      <w:rFonts w:ascii="Courier New" w:eastAsia="Times New Roman" w:hAnsi="Courier New" w:cs="Courier New"/>
      <w:sz w:val="20"/>
      <w:szCs w:val="20"/>
      <w:lang w:val="en-GB" w:eastAsia="en-GB"/>
    </w:rPr>
  </w:style>
  <w:style w:type="character" w:customStyle="1" w:styleId="y2iqfc">
    <w:name w:val="y2iqfc"/>
    <w:basedOn w:val="DefaultParagraphFont"/>
    <w:rsid w:val="002C7349"/>
  </w:style>
  <w:style w:type="paragraph" w:styleId="Header">
    <w:name w:val="header"/>
    <w:basedOn w:val="Normal"/>
    <w:link w:val="HeaderChar"/>
    <w:uiPriority w:val="99"/>
    <w:unhideWhenUsed/>
    <w:rsid w:val="00B93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176"/>
  </w:style>
  <w:style w:type="paragraph" w:styleId="Footer">
    <w:name w:val="footer"/>
    <w:basedOn w:val="Normal"/>
    <w:link w:val="FooterChar"/>
    <w:uiPriority w:val="99"/>
    <w:unhideWhenUsed/>
    <w:rsid w:val="00B93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176"/>
  </w:style>
  <w:style w:type="character" w:customStyle="1" w:styleId="ztplmc">
    <w:name w:val="ztplmc"/>
    <w:basedOn w:val="DefaultParagraphFont"/>
    <w:rsid w:val="00E15424"/>
  </w:style>
  <w:style w:type="character" w:customStyle="1" w:styleId="q4iawc">
    <w:name w:val="q4iawc"/>
    <w:basedOn w:val="DefaultParagraphFont"/>
    <w:rsid w:val="00E15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548431">
      <w:bodyDiv w:val="1"/>
      <w:marLeft w:val="0"/>
      <w:marRight w:val="0"/>
      <w:marTop w:val="0"/>
      <w:marBottom w:val="0"/>
      <w:divBdr>
        <w:top w:val="none" w:sz="0" w:space="0" w:color="auto"/>
        <w:left w:val="none" w:sz="0" w:space="0" w:color="auto"/>
        <w:bottom w:val="none" w:sz="0" w:space="0" w:color="auto"/>
        <w:right w:val="none" w:sz="0" w:space="0" w:color="auto"/>
      </w:divBdr>
      <w:divsChild>
        <w:div w:id="1251112298">
          <w:marLeft w:val="0"/>
          <w:marRight w:val="0"/>
          <w:marTop w:val="100"/>
          <w:marBottom w:val="0"/>
          <w:divBdr>
            <w:top w:val="none" w:sz="0" w:space="0" w:color="auto"/>
            <w:left w:val="none" w:sz="0" w:space="0" w:color="auto"/>
            <w:bottom w:val="none" w:sz="0" w:space="0" w:color="auto"/>
            <w:right w:val="none" w:sz="0" w:space="0" w:color="auto"/>
          </w:divBdr>
        </w:div>
        <w:div w:id="1439258611">
          <w:marLeft w:val="0"/>
          <w:marRight w:val="0"/>
          <w:marTop w:val="0"/>
          <w:marBottom w:val="0"/>
          <w:divBdr>
            <w:top w:val="none" w:sz="0" w:space="0" w:color="auto"/>
            <w:left w:val="none" w:sz="0" w:space="0" w:color="auto"/>
            <w:bottom w:val="none" w:sz="0" w:space="0" w:color="auto"/>
            <w:right w:val="none" w:sz="0" w:space="0" w:color="auto"/>
          </w:divBdr>
          <w:divsChild>
            <w:div w:id="1061631526">
              <w:marLeft w:val="0"/>
              <w:marRight w:val="0"/>
              <w:marTop w:val="0"/>
              <w:marBottom w:val="0"/>
              <w:divBdr>
                <w:top w:val="none" w:sz="0" w:space="0" w:color="auto"/>
                <w:left w:val="none" w:sz="0" w:space="0" w:color="auto"/>
                <w:bottom w:val="none" w:sz="0" w:space="0" w:color="auto"/>
                <w:right w:val="none" w:sz="0" w:space="0" w:color="auto"/>
              </w:divBdr>
              <w:divsChild>
                <w:div w:id="55450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154">
      <w:bodyDiv w:val="1"/>
      <w:marLeft w:val="0"/>
      <w:marRight w:val="0"/>
      <w:marTop w:val="0"/>
      <w:marBottom w:val="0"/>
      <w:divBdr>
        <w:top w:val="none" w:sz="0" w:space="0" w:color="auto"/>
        <w:left w:val="none" w:sz="0" w:space="0" w:color="auto"/>
        <w:bottom w:val="none" w:sz="0" w:space="0" w:color="auto"/>
        <w:right w:val="none" w:sz="0" w:space="0" w:color="auto"/>
      </w:divBdr>
    </w:div>
    <w:div w:id="181594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507CC357937D64D9CDF89104D58C81B" ma:contentTypeVersion="13" ma:contentTypeDescription="Create a new document." ma:contentTypeScope="" ma:versionID="b23bd72763f0de597bb1360487073a80">
  <xsd:schema xmlns:xsd="http://www.w3.org/2001/XMLSchema" xmlns:xs="http://www.w3.org/2001/XMLSchema" xmlns:p="http://schemas.microsoft.com/office/2006/metadata/properties" xmlns:ns3="60e4f8f0-4686-4fb5-a761-1192f8270dd1" xmlns:ns4="a519c9a6-63c0-402b-bba8-e6b0902b5865" targetNamespace="http://schemas.microsoft.com/office/2006/metadata/properties" ma:root="true" ma:fieldsID="febbbfd836892ea17c356cbb90a75f1a" ns3:_="" ns4:_="">
    <xsd:import namespace="60e4f8f0-4686-4fb5-a761-1192f8270dd1"/>
    <xsd:import namespace="a519c9a6-63c0-402b-bba8-e6b0902b58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4f8f0-4686-4fb5-a761-1192f8270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9c9a6-63c0-402b-bba8-e6b0902b58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F42A23-13C6-4665-A92A-70E81C836BC1}">
  <ds:schemaRefs>
    <ds:schemaRef ds:uri="http://schemas.microsoft.com/sharepoint/v3/contenttype/forms"/>
  </ds:schemaRefs>
</ds:datastoreItem>
</file>

<file path=customXml/itemProps2.xml><?xml version="1.0" encoding="utf-8"?>
<ds:datastoreItem xmlns:ds="http://schemas.openxmlformats.org/officeDocument/2006/customXml" ds:itemID="{78E227E2-85BE-45A5-9815-EEDA73480D22}">
  <ds:schemaRefs>
    <ds:schemaRef ds:uri="http://schemas.openxmlformats.org/officeDocument/2006/bibliography"/>
  </ds:schemaRefs>
</ds:datastoreItem>
</file>

<file path=customXml/itemProps3.xml><?xml version="1.0" encoding="utf-8"?>
<ds:datastoreItem xmlns:ds="http://schemas.openxmlformats.org/officeDocument/2006/customXml" ds:itemID="{DF4A01DD-39F3-4265-A464-D138CC796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4f8f0-4686-4fb5-a761-1192f8270dd1"/>
    <ds:schemaRef ds:uri="a519c9a6-63c0-402b-bba8-e6b0902b5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36CEF4-4C33-4930-B109-9715816975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Planincic, Amila</dc:creator>
  <cp:keywords/>
  <dc:description/>
  <cp:lastModifiedBy>Almina Ćibo</cp:lastModifiedBy>
  <cp:revision>2</cp:revision>
  <dcterms:created xsi:type="dcterms:W3CDTF">2022-07-14T07:35:00Z</dcterms:created>
  <dcterms:modified xsi:type="dcterms:W3CDTF">2022-07-14T07:35:00Z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0x010100F507CC357937D64D9CDF89104D58C81B</vt:lpwstr>
  </property>
</Properties>
</file>