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35E48" w14:textId="724CF532" w:rsidR="00D42083" w:rsidRPr="00410199" w:rsidRDefault="00410199" w:rsidP="00410199">
      <w:pPr>
        <w:pStyle w:val="P68B1DB1-Normal1"/>
        <w:jc w:val="center"/>
        <w:rPr>
          <w:szCs w:val="28"/>
          <w:lang w:val="en-GB"/>
        </w:rPr>
      </w:pPr>
      <w:r w:rsidRPr="00410199">
        <w:rPr>
          <w:szCs w:val="28"/>
          <w:lang w:val="en-GB"/>
        </w:rPr>
        <w:t>Statement of Commitment to Transform Education by</w:t>
      </w:r>
      <w:r>
        <w:rPr>
          <w:szCs w:val="28"/>
          <w:lang w:val="en-GB"/>
        </w:rPr>
        <w:t xml:space="preserve"> </w:t>
      </w:r>
      <w:r w:rsidRPr="00410199">
        <w:rPr>
          <w:szCs w:val="28"/>
          <w:lang w:val="en-GB"/>
        </w:rPr>
        <w:t>Line Education Ministries in Bosnia and Herzegovina</w:t>
      </w:r>
    </w:p>
    <w:p w14:paraId="7C44DBDD" w14:textId="77777777" w:rsidR="0038348F" w:rsidRPr="00410199" w:rsidRDefault="0038348F" w:rsidP="0038348F">
      <w:pPr>
        <w:pStyle w:val="NoSpacing"/>
        <w:rPr>
          <w:rFonts w:cstheme="minorHAnsi"/>
          <w:lang w:val="en-GB"/>
        </w:rPr>
      </w:pPr>
    </w:p>
    <w:p w14:paraId="199B111E" w14:textId="77777777" w:rsidR="00410199" w:rsidRPr="00410199" w:rsidRDefault="00410199" w:rsidP="00410199">
      <w:pPr>
        <w:spacing w:after="120" w:line="240" w:lineRule="auto"/>
        <w:jc w:val="both"/>
        <w:rPr>
          <w:b/>
          <w:bCs/>
          <w:i/>
          <w:iCs/>
          <w:lang w:val="en-GB"/>
        </w:rPr>
      </w:pPr>
      <w:r w:rsidRPr="00410199">
        <w:rPr>
          <w:b/>
          <w:bCs/>
          <w:i/>
          <w:iCs/>
          <w:lang w:val="en-GB"/>
        </w:rPr>
        <w:t>Your Excellency, Secretary-General of the United Nations,</w:t>
      </w:r>
    </w:p>
    <w:p w14:paraId="6CEC606C" w14:textId="77777777" w:rsidR="00410199" w:rsidRPr="00410199" w:rsidRDefault="00410199" w:rsidP="00410199">
      <w:pPr>
        <w:spacing w:after="120" w:line="240" w:lineRule="auto"/>
        <w:jc w:val="both"/>
        <w:rPr>
          <w:b/>
          <w:bCs/>
          <w:i/>
          <w:iCs/>
          <w:lang w:val="en-GB"/>
        </w:rPr>
      </w:pPr>
      <w:r w:rsidRPr="00410199">
        <w:rPr>
          <w:b/>
          <w:bCs/>
          <w:i/>
          <w:iCs/>
          <w:lang w:val="en-GB"/>
        </w:rPr>
        <w:t>Thank you for convening the global Transforming Education Summit in this watershed moment for recovery of education in the aftermath of the COVID-19 pandemic, to prevent a generational disaster in education.</w:t>
      </w:r>
    </w:p>
    <w:p w14:paraId="433BF5BD" w14:textId="77777777" w:rsidR="00410199" w:rsidRPr="00410199" w:rsidRDefault="00410199" w:rsidP="00410199">
      <w:pPr>
        <w:spacing w:after="120" w:line="240" w:lineRule="auto"/>
        <w:jc w:val="both"/>
        <w:rPr>
          <w:b/>
          <w:i/>
          <w:lang w:val="en-GB"/>
        </w:rPr>
      </w:pPr>
      <w:r w:rsidRPr="00410199">
        <w:rPr>
          <w:b/>
          <w:i/>
          <w:lang w:val="en-GB"/>
        </w:rPr>
        <w:t xml:space="preserve">We, the Ministers of Education and representatives of education authorities in Bosnia and Herzegovina, </w:t>
      </w:r>
    </w:p>
    <w:p w14:paraId="4F411281" w14:textId="4BDB576E" w:rsidR="00820A55" w:rsidRPr="00410199" w:rsidRDefault="00410199" w:rsidP="00EA7CD7">
      <w:pPr>
        <w:spacing w:after="120" w:line="240" w:lineRule="auto"/>
        <w:jc w:val="both"/>
        <w:rPr>
          <w:b/>
          <w:bCs/>
          <w:i/>
          <w:iCs/>
          <w:lang w:val="en-GB"/>
        </w:rPr>
      </w:pPr>
      <w:r w:rsidRPr="00410199">
        <w:rPr>
          <w:b/>
          <w:bCs/>
          <w:i/>
          <w:iCs/>
          <w:lang w:val="en-GB"/>
        </w:rPr>
        <w:t>Fully committed to building quality, inclusive and equal education accessible to all, mindful of recommendations and needs of all engaged parties in the consultation process on transforming education in Bosnia and Herzegovina</w:t>
      </w:r>
      <w:r w:rsidR="00D02C1B" w:rsidRPr="00410199">
        <w:rPr>
          <w:rFonts w:cstheme="minorHAnsi"/>
          <w:b/>
          <w:i/>
          <w:lang w:val="en-GB"/>
        </w:rPr>
        <w:t>:</w:t>
      </w:r>
    </w:p>
    <w:p w14:paraId="38E36320" w14:textId="77777777" w:rsidR="00410199" w:rsidRDefault="00410199" w:rsidP="00820A55">
      <w:pPr>
        <w:spacing w:after="120" w:line="240" w:lineRule="auto"/>
        <w:jc w:val="both"/>
        <w:rPr>
          <w:rFonts w:cstheme="minorHAnsi"/>
          <w:i/>
          <w:lang w:val="en-GB"/>
        </w:rPr>
      </w:pPr>
    </w:p>
    <w:p w14:paraId="22B2F92D" w14:textId="77777777" w:rsidR="00410199" w:rsidRPr="00410199" w:rsidRDefault="00410199" w:rsidP="00410199">
      <w:pPr>
        <w:spacing w:after="120" w:line="240" w:lineRule="auto"/>
        <w:jc w:val="both"/>
        <w:rPr>
          <w:lang w:val="en-GB"/>
        </w:rPr>
      </w:pPr>
      <w:r w:rsidRPr="00410199">
        <w:rPr>
          <w:i/>
          <w:iCs/>
          <w:lang w:val="en-GB"/>
        </w:rPr>
        <w:t xml:space="preserve">Advocating </w:t>
      </w:r>
      <w:r w:rsidRPr="00410199">
        <w:rPr>
          <w:b/>
          <w:bCs/>
          <w:lang w:val="en-GB"/>
        </w:rPr>
        <w:t>equal access to education</w:t>
      </w:r>
      <w:r w:rsidRPr="00410199">
        <w:rPr>
          <w:lang w:val="en-GB"/>
        </w:rPr>
        <w:t xml:space="preserve"> and support for children and youth with disabilities, children and youth from economically and socially vulnerable categories, and rural areas,</w:t>
      </w:r>
    </w:p>
    <w:p w14:paraId="470E077E" w14:textId="31824FC9" w:rsidR="00410199" w:rsidRPr="00410199" w:rsidRDefault="00410199" w:rsidP="00410199">
      <w:pPr>
        <w:spacing w:after="120" w:line="240" w:lineRule="auto"/>
        <w:jc w:val="both"/>
        <w:rPr>
          <w:lang w:val="en-GB"/>
        </w:rPr>
      </w:pPr>
      <w:r w:rsidRPr="00410199">
        <w:rPr>
          <w:i/>
          <w:iCs/>
          <w:lang w:val="en-GB"/>
        </w:rPr>
        <w:t xml:space="preserve">Undertaking </w:t>
      </w:r>
      <w:r w:rsidRPr="00410199">
        <w:rPr>
          <w:lang w:val="en-GB"/>
        </w:rPr>
        <w:t xml:space="preserve">to improve </w:t>
      </w:r>
      <w:r w:rsidRPr="00410199">
        <w:rPr>
          <w:b/>
          <w:bCs/>
          <w:lang w:val="en-GB"/>
        </w:rPr>
        <w:t>access to education</w:t>
      </w:r>
      <w:r w:rsidRPr="00410199">
        <w:rPr>
          <w:lang w:val="en-GB"/>
        </w:rPr>
        <w:t xml:space="preserve">, training and labour market to ensure leave no one behind principle through quality education and lifelong learning, improved inclusiveness of education systems, and matching </w:t>
      </w:r>
      <w:r w:rsidR="00331355">
        <w:rPr>
          <w:lang w:val="en-GB"/>
        </w:rPr>
        <w:t>societal needs</w:t>
      </w:r>
      <w:r w:rsidRPr="00410199">
        <w:rPr>
          <w:lang w:val="en-GB"/>
        </w:rPr>
        <w:t>,</w:t>
      </w:r>
    </w:p>
    <w:p w14:paraId="39DF0A36" w14:textId="22424C37" w:rsidR="00331355" w:rsidRPr="00331355" w:rsidRDefault="00331355" w:rsidP="00410199">
      <w:pPr>
        <w:spacing w:after="120" w:line="240" w:lineRule="auto"/>
        <w:jc w:val="both"/>
        <w:rPr>
          <w:lang w:val="en-GB"/>
        </w:rPr>
      </w:pPr>
      <w:r w:rsidRPr="00331355">
        <w:rPr>
          <w:i/>
          <w:iCs/>
          <w:lang w:val="en-GB"/>
        </w:rPr>
        <w:t>Call</w:t>
      </w:r>
      <w:r w:rsidR="008C7FB2">
        <w:rPr>
          <w:i/>
          <w:iCs/>
          <w:lang w:val="en-GB"/>
        </w:rPr>
        <w:t>ing</w:t>
      </w:r>
      <w:r w:rsidRPr="00331355">
        <w:rPr>
          <w:lang w:val="en-GB"/>
        </w:rPr>
        <w:t xml:space="preserve"> </w:t>
      </w:r>
      <w:r>
        <w:rPr>
          <w:lang w:val="en-GB"/>
        </w:rPr>
        <w:t>stakeholders</w:t>
      </w:r>
      <w:r w:rsidRPr="00331355">
        <w:rPr>
          <w:lang w:val="en-GB"/>
        </w:rPr>
        <w:t xml:space="preserve"> to </w:t>
      </w:r>
      <w:r>
        <w:rPr>
          <w:lang w:val="en-GB"/>
        </w:rPr>
        <w:t>collaborate</w:t>
      </w:r>
      <w:r w:rsidRPr="00331355">
        <w:rPr>
          <w:lang w:val="en-GB"/>
        </w:rPr>
        <w:t xml:space="preserve"> to improve </w:t>
      </w:r>
      <w:r w:rsidRPr="00331355">
        <w:rPr>
          <w:b/>
          <w:bCs/>
          <w:lang w:val="en-GB"/>
        </w:rPr>
        <w:t xml:space="preserve">work and business environment </w:t>
      </w:r>
      <w:r w:rsidRPr="00331355">
        <w:rPr>
          <w:lang w:val="en-GB"/>
        </w:rPr>
        <w:t>and thus accelerate job creation in the 21</w:t>
      </w:r>
      <w:r w:rsidRPr="00331355">
        <w:rPr>
          <w:vertAlign w:val="superscript"/>
          <w:lang w:val="en-GB"/>
        </w:rPr>
        <w:t>st</w:t>
      </w:r>
      <w:r>
        <w:rPr>
          <w:lang w:val="en-GB"/>
        </w:rPr>
        <w:t xml:space="preserve"> </w:t>
      </w:r>
      <w:r w:rsidRPr="00331355">
        <w:rPr>
          <w:lang w:val="en-GB"/>
        </w:rPr>
        <w:t>century economy and contribute to improving living standards,</w:t>
      </w:r>
    </w:p>
    <w:p w14:paraId="5463B622" w14:textId="24854DD5" w:rsidR="00C04C1A" w:rsidRDefault="00410199" w:rsidP="3B3A538A">
      <w:pPr>
        <w:spacing w:after="120" w:line="240" w:lineRule="auto"/>
        <w:jc w:val="both"/>
        <w:rPr>
          <w:iCs/>
          <w:lang w:val="en-GB"/>
        </w:rPr>
      </w:pPr>
      <w:r w:rsidRPr="00410199">
        <w:rPr>
          <w:i/>
          <w:iCs/>
          <w:lang w:val="en-GB"/>
        </w:rPr>
        <w:t xml:space="preserve">Recognising </w:t>
      </w:r>
      <w:r w:rsidRPr="00410199">
        <w:rPr>
          <w:lang w:val="en-GB"/>
        </w:rPr>
        <w:t xml:space="preserve">the need to </w:t>
      </w:r>
      <w:r w:rsidR="00331355">
        <w:rPr>
          <w:b/>
          <w:bCs/>
          <w:lang w:val="en-GB"/>
        </w:rPr>
        <w:t>acqui</w:t>
      </w:r>
      <w:r w:rsidR="008C7FB2">
        <w:rPr>
          <w:b/>
          <w:bCs/>
          <w:lang w:val="en-GB"/>
        </w:rPr>
        <w:t xml:space="preserve">re new </w:t>
      </w:r>
      <w:r w:rsidRPr="00410199">
        <w:rPr>
          <w:b/>
          <w:bCs/>
          <w:lang w:val="en-GB"/>
        </w:rPr>
        <w:t>knowledge</w:t>
      </w:r>
      <w:r w:rsidR="008C7FB2">
        <w:rPr>
          <w:b/>
          <w:bCs/>
          <w:lang w:val="en-GB"/>
        </w:rPr>
        <w:t>, skills and competences of pupils and students</w:t>
      </w:r>
      <w:r w:rsidRPr="00410199">
        <w:rPr>
          <w:lang w:val="en-GB"/>
        </w:rPr>
        <w:t xml:space="preserve"> that will prepare </w:t>
      </w:r>
      <w:r w:rsidR="008C7FB2">
        <w:rPr>
          <w:lang w:val="en-GB"/>
        </w:rPr>
        <w:t>them</w:t>
      </w:r>
      <w:r w:rsidRPr="00410199">
        <w:rPr>
          <w:lang w:val="en-GB"/>
        </w:rPr>
        <w:t xml:space="preserve"> for an evolving work-and-life environment and a sustainable future, focusing in particular on individual learning approaches, building language and mathematical functional literacy, and acquiring general and specialised knowledge, skills and competencies, based on learning outcomes</w:t>
      </w:r>
      <w:r w:rsidR="004767FF" w:rsidRPr="00410199">
        <w:rPr>
          <w:iCs/>
          <w:lang w:val="en-GB"/>
        </w:rPr>
        <w:t>,</w:t>
      </w:r>
    </w:p>
    <w:p w14:paraId="42B7741B" w14:textId="76138134" w:rsidR="00BE77BF" w:rsidRPr="00410199" w:rsidRDefault="008C7FB2" w:rsidP="3B3A538A">
      <w:pPr>
        <w:spacing w:after="120" w:line="240" w:lineRule="auto"/>
        <w:jc w:val="both"/>
        <w:rPr>
          <w:iCs/>
          <w:lang w:val="en-GB"/>
        </w:rPr>
      </w:pPr>
      <w:r w:rsidRPr="008C7FB2">
        <w:rPr>
          <w:iCs/>
          <w:lang w:val="en-GB"/>
        </w:rPr>
        <w:t xml:space="preserve">Aware of the impact of global and local challenges affecting the development of children, pupils and students, </w:t>
      </w:r>
      <w:r w:rsidRPr="00001256">
        <w:rPr>
          <w:i/>
          <w:lang w:val="en-GB"/>
        </w:rPr>
        <w:t>adv</w:t>
      </w:r>
      <w:r w:rsidR="001A298C">
        <w:rPr>
          <w:i/>
          <w:lang w:val="en-GB"/>
        </w:rPr>
        <w:t>is</w:t>
      </w:r>
      <w:r w:rsidR="00001256" w:rsidRPr="00001256">
        <w:rPr>
          <w:i/>
          <w:lang w:val="en-GB"/>
        </w:rPr>
        <w:t>ing</w:t>
      </w:r>
      <w:r w:rsidRPr="008C7FB2">
        <w:rPr>
          <w:iCs/>
          <w:lang w:val="en-GB"/>
        </w:rPr>
        <w:t xml:space="preserve"> </w:t>
      </w:r>
      <w:r w:rsidR="00001256" w:rsidRPr="00001256">
        <w:rPr>
          <w:b/>
          <w:bCs/>
          <w:iCs/>
          <w:lang w:val="en-GB"/>
        </w:rPr>
        <w:t xml:space="preserve">zooming </w:t>
      </w:r>
      <w:r w:rsidR="00001256">
        <w:rPr>
          <w:b/>
          <w:bCs/>
          <w:iCs/>
          <w:lang w:val="en-GB"/>
        </w:rPr>
        <w:t xml:space="preserve">in </w:t>
      </w:r>
      <w:r w:rsidR="00001256" w:rsidRPr="00001256">
        <w:rPr>
          <w:b/>
          <w:bCs/>
          <w:iCs/>
          <w:lang w:val="en-GB"/>
        </w:rPr>
        <w:t>on</w:t>
      </w:r>
      <w:r w:rsidRPr="00001256">
        <w:rPr>
          <w:b/>
          <w:bCs/>
          <w:iCs/>
          <w:lang w:val="en-GB"/>
        </w:rPr>
        <w:t xml:space="preserve"> mental health and well-being of children</w:t>
      </w:r>
      <w:r w:rsidRPr="008C7FB2">
        <w:rPr>
          <w:iCs/>
          <w:lang w:val="en-GB"/>
        </w:rPr>
        <w:t>, pupils, students and teachers</w:t>
      </w:r>
      <w:r w:rsidR="001A298C">
        <w:rPr>
          <w:iCs/>
          <w:lang w:val="en-GB"/>
        </w:rPr>
        <w:t>,</w:t>
      </w:r>
    </w:p>
    <w:p w14:paraId="2E32AA21" w14:textId="648747C3" w:rsidR="00001256" w:rsidRPr="00410199" w:rsidRDefault="00001256" w:rsidP="3B3A538A">
      <w:pPr>
        <w:spacing w:after="120" w:line="240" w:lineRule="auto"/>
        <w:jc w:val="both"/>
        <w:rPr>
          <w:lang w:val="en-GB"/>
        </w:rPr>
      </w:pPr>
      <w:r w:rsidRPr="00001256">
        <w:rPr>
          <w:i/>
          <w:iCs/>
          <w:lang w:val="en-GB"/>
        </w:rPr>
        <w:t>Working</w:t>
      </w:r>
      <w:r w:rsidRPr="00001256">
        <w:rPr>
          <w:lang w:val="en-GB"/>
        </w:rPr>
        <w:t xml:space="preserve"> to </w:t>
      </w:r>
      <w:r w:rsidRPr="00001256">
        <w:rPr>
          <w:b/>
          <w:bCs/>
          <w:lang w:val="en-GB"/>
        </w:rPr>
        <w:t xml:space="preserve">strengthen </w:t>
      </w:r>
      <w:r w:rsidR="00084D85">
        <w:rPr>
          <w:b/>
          <w:bCs/>
          <w:lang w:val="en-GB"/>
        </w:rPr>
        <w:t xml:space="preserve">professional, </w:t>
      </w:r>
      <w:r w:rsidRPr="00001256">
        <w:rPr>
          <w:b/>
          <w:bCs/>
          <w:lang w:val="en-GB"/>
        </w:rPr>
        <w:t>legal, financial and administrative setting</w:t>
      </w:r>
      <w:r w:rsidRPr="00001256">
        <w:rPr>
          <w:lang w:val="en-GB"/>
        </w:rPr>
        <w:t xml:space="preserve"> for delivering on quality inclusive education, especially digital learning, bearing in mind the pedagogical and technical requirements that educational institutions must meet, including the necessary minimum qualifications of teachers and lecturers for this form of learning,</w:t>
      </w:r>
    </w:p>
    <w:p w14:paraId="3A00EDAE" w14:textId="0114D5EF" w:rsidR="006B3A97" w:rsidRPr="007766B3" w:rsidRDefault="006B3A97" w:rsidP="63ACC195">
      <w:pPr>
        <w:spacing w:after="120" w:line="240" w:lineRule="auto"/>
        <w:jc w:val="both"/>
        <w:rPr>
          <w:bCs/>
          <w:lang w:val="en-GB"/>
        </w:rPr>
      </w:pPr>
      <w:r>
        <w:rPr>
          <w:bCs/>
          <w:i/>
          <w:iCs/>
          <w:lang w:val="en-GB"/>
        </w:rPr>
        <w:t>Calling</w:t>
      </w:r>
      <w:r w:rsidRPr="006B3A97">
        <w:rPr>
          <w:bCs/>
          <w:i/>
          <w:iCs/>
          <w:lang w:val="en-GB"/>
        </w:rPr>
        <w:t xml:space="preserve"> </w:t>
      </w:r>
      <w:r>
        <w:rPr>
          <w:bCs/>
          <w:lang w:val="en-GB"/>
        </w:rPr>
        <w:t>for</w:t>
      </w:r>
      <w:r w:rsidRPr="006B3A97">
        <w:rPr>
          <w:bCs/>
          <w:lang w:val="en-GB"/>
        </w:rPr>
        <w:t xml:space="preserve"> continuous improve</w:t>
      </w:r>
      <w:r>
        <w:rPr>
          <w:bCs/>
          <w:lang w:val="en-GB"/>
        </w:rPr>
        <w:t>ment of</w:t>
      </w:r>
      <w:r w:rsidRPr="006B3A97">
        <w:rPr>
          <w:bCs/>
          <w:lang w:val="en-GB"/>
        </w:rPr>
        <w:t xml:space="preserve"> curriculum across the board in education, based on </w:t>
      </w:r>
      <w:r w:rsidRPr="006B3A97">
        <w:rPr>
          <w:b/>
          <w:lang w:val="en-GB"/>
        </w:rPr>
        <w:t>learning outcomes and skills of the 21</w:t>
      </w:r>
      <w:r w:rsidRPr="006B3A97">
        <w:rPr>
          <w:b/>
          <w:vertAlign w:val="superscript"/>
          <w:lang w:val="en-GB"/>
        </w:rPr>
        <w:t>st</w:t>
      </w:r>
      <w:r w:rsidRPr="006B3A97">
        <w:rPr>
          <w:b/>
          <w:lang w:val="en-GB"/>
        </w:rPr>
        <w:t xml:space="preserve"> century</w:t>
      </w:r>
      <w:r w:rsidRPr="006B3A97">
        <w:rPr>
          <w:bCs/>
          <w:lang w:val="en-GB"/>
        </w:rPr>
        <w:t xml:space="preserve"> in cooperation with all relevant stakeholders, to facilitate greater alignment with </w:t>
      </w:r>
      <w:r>
        <w:rPr>
          <w:bCs/>
          <w:lang w:val="en-GB"/>
        </w:rPr>
        <w:t xml:space="preserve">societal and </w:t>
      </w:r>
      <w:r w:rsidRPr="006B3A97">
        <w:rPr>
          <w:bCs/>
          <w:lang w:val="en-GB"/>
        </w:rPr>
        <w:t xml:space="preserve">labour market needs and furnish </w:t>
      </w:r>
      <w:r>
        <w:rPr>
          <w:bCs/>
          <w:lang w:val="en-GB"/>
        </w:rPr>
        <w:t xml:space="preserve">children, pupils and </w:t>
      </w:r>
      <w:r w:rsidRPr="006B3A97">
        <w:rPr>
          <w:bCs/>
          <w:lang w:val="en-GB"/>
        </w:rPr>
        <w:t>students with knowledge, skills and competencies</w:t>
      </w:r>
      <w:r>
        <w:rPr>
          <w:bCs/>
          <w:lang w:val="en-GB"/>
        </w:rPr>
        <w:t>, including</w:t>
      </w:r>
      <w:r w:rsidRPr="006B3A97">
        <w:rPr>
          <w:bCs/>
          <w:lang w:val="en-GB"/>
        </w:rPr>
        <w:t xml:space="preserve"> </w:t>
      </w:r>
      <w:r w:rsidRPr="006B3A97">
        <w:rPr>
          <w:b/>
          <w:lang w:val="en-GB"/>
        </w:rPr>
        <w:t>transversal/life competencies</w:t>
      </w:r>
      <w:r w:rsidRPr="006B3A97">
        <w:rPr>
          <w:bCs/>
          <w:lang w:val="en-GB"/>
        </w:rPr>
        <w:t xml:space="preserve"> that will contribute to the development of each individual and social inclusion,</w:t>
      </w:r>
    </w:p>
    <w:p w14:paraId="4B9D202A" w14:textId="0E9CFC8D" w:rsidR="006B3A97" w:rsidRPr="006B3A97" w:rsidRDefault="006B3A97" w:rsidP="006B3A97">
      <w:pPr>
        <w:spacing w:after="120" w:line="240" w:lineRule="auto"/>
        <w:jc w:val="both"/>
        <w:rPr>
          <w:lang w:val="en-GB"/>
        </w:rPr>
      </w:pPr>
      <w:r w:rsidRPr="006B3A97">
        <w:rPr>
          <w:i/>
          <w:iCs/>
          <w:lang w:val="en-GB"/>
        </w:rPr>
        <w:t>Investing</w:t>
      </w:r>
      <w:r w:rsidRPr="006B3A97">
        <w:rPr>
          <w:lang w:val="en-GB"/>
        </w:rPr>
        <w:t xml:space="preserve"> in </w:t>
      </w:r>
      <w:r w:rsidRPr="006B3A97">
        <w:rPr>
          <w:b/>
          <w:bCs/>
          <w:lang w:val="en-GB"/>
        </w:rPr>
        <w:t>capacity building of teaching staff</w:t>
      </w:r>
      <w:r w:rsidRPr="006B3A97">
        <w:rPr>
          <w:lang w:val="en-GB"/>
        </w:rPr>
        <w:t xml:space="preserve"> at all levels of education</w:t>
      </w:r>
      <w:r>
        <w:rPr>
          <w:lang w:val="en-GB"/>
        </w:rPr>
        <w:t xml:space="preserve"> by</w:t>
      </w:r>
      <w:r w:rsidRPr="006B3A97">
        <w:rPr>
          <w:lang w:val="en-GB"/>
        </w:rPr>
        <w:t xml:space="preserve"> strengthening </w:t>
      </w:r>
      <w:r w:rsidRPr="006B3A97">
        <w:rPr>
          <w:b/>
          <w:bCs/>
          <w:lang w:val="en-GB"/>
        </w:rPr>
        <w:t xml:space="preserve">digital and </w:t>
      </w:r>
      <w:r w:rsidRPr="00410199">
        <w:rPr>
          <w:b/>
          <w:bCs/>
          <w:lang w:val="en-GB"/>
        </w:rPr>
        <w:t>PPDM</w:t>
      </w:r>
      <w:r w:rsidRPr="00410199">
        <w:rPr>
          <w:rStyle w:val="FootnoteReference"/>
          <w:b/>
          <w:bCs/>
          <w:lang w:val="en-GB"/>
        </w:rPr>
        <w:footnoteReference w:id="1"/>
      </w:r>
      <w:r w:rsidRPr="006B3A97">
        <w:rPr>
          <w:b/>
          <w:bCs/>
          <w:lang w:val="en-GB"/>
        </w:rPr>
        <w:t xml:space="preserve"> competencies </w:t>
      </w:r>
      <w:r w:rsidRPr="006B3A97">
        <w:rPr>
          <w:lang w:val="en-GB"/>
        </w:rPr>
        <w:t>necessary in achieving a quality educational process in the 21</w:t>
      </w:r>
      <w:r w:rsidRPr="006B3A97">
        <w:rPr>
          <w:vertAlign w:val="superscript"/>
          <w:lang w:val="en-GB"/>
        </w:rPr>
        <w:t>st</w:t>
      </w:r>
      <w:r w:rsidRPr="006B3A97">
        <w:rPr>
          <w:lang w:val="en-GB"/>
        </w:rPr>
        <w:t xml:space="preserve"> century,</w:t>
      </w:r>
    </w:p>
    <w:p w14:paraId="65E7C77E" w14:textId="194DBDEB" w:rsidR="006B3A97" w:rsidRPr="006B3A97" w:rsidRDefault="006B3A97" w:rsidP="006B3A97">
      <w:pPr>
        <w:spacing w:after="120" w:line="240" w:lineRule="auto"/>
        <w:jc w:val="both"/>
        <w:rPr>
          <w:lang w:val="en-GB"/>
        </w:rPr>
      </w:pPr>
      <w:r w:rsidRPr="006B3A97">
        <w:rPr>
          <w:i/>
          <w:iCs/>
          <w:lang w:val="en-GB"/>
        </w:rPr>
        <w:lastRenderedPageBreak/>
        <w:t>Promoting</w:t>
      </w:r>
      <w:r w:rsidRPr="006B3A97">
        <w:rPr>
          <w:lang w:val="en-GB"/>
        </w:rPr>
        <w:t xml:space="preserve"> </w:t>
      </w:r>
      <w:r w:rsidRPr="006B3A97">
        <w:rPr>
          <w:b/>
          <w:bCs/>
          <w:lang w:val="en-GB"/>
        </w:rPr>
        <w:t>universal and quality preschool education</w:t>
      </w:r>
      <w:r w:rsidRPr="006B3A97">
        <w:rPr>
          <w:lang w:val="en-GB"/>
        </w:rPr>
        <w:t xml:space="preserve">, that is, improving the preschool education coverage of children, not only in the years before starting school but also at the age </w:t>
      </w:r>
      <w:r>
        <w:rPr>
          <w:lang w:val="en-GB"/>
        </w:rPr>
        <w:t>between</w:t>
      </w:r>
      <w:r w:rsidRPr="006B3A97">
        <w:rPr>
          <w:lang w:val="en-GB"/>
        </w:rPr>
        <w:t xml:space="preserve"> 3 to 6, especially for children from vulnerable categories,</w:t>
      </w:r>
    </w:p>
    <w:p w14:paraId="681172E9" w14:textId="5D6C0089" w:rsidR="006B3A97" w:rsidRPr="006B3A97" w:rsidRDefault="006B3A97" w:rsidP="006B3A97">
      <w:pPr>
        <w:spacing w:after="120" w:line="240" w:lineRule="auto"/>
        <w:jc w:val="both"/>
        <w:rPr>
          <w:lang w:val="en-GB"/>
        </w:rPr>
      </w:pPr>
      <w:r w:rsidRPr="006B3A97">
        <w:rPr>
          <w:i/>
          <w:iCs/>
          <w:lang w:val="en-GB"/>
        </w:rPr>
        <w:t>Implementing</w:t>
      </w:r>
      <w:r w:rsidRPr="006B3A97">
        <w:rPr>
          <w:lang w:val="en-GB"/>
        </w:rPr>
        <w:t xml:space="preserve"> measures to </w:t>
      </w:r>
      <w:r w:rsidRPr="006B3A97">
        <w:rPr>
          <w:b/>
          <w:bCs/>
          <w:lang w:val="en-GB"/>
        </w:rPr>
        <w:t>reduce early school dropout</w:t>
      </w:r>
      <w:r w:rsidRPr="006B3A97">
        <w:rPr>
          <w:lang w:val="en-GB"/>
        </w:rPr>
        <w:t xml:space="preserve"> as well as the number of those lacking knowledge and skills through targeted training and programmes contributing to their integration in</w:t>
      </w:r>
      <w:r w:rsidR="004B74F3">
        <w:rPr>
          <w:lang w:val="en-GB"/>
        </w:rPr>
        <w:t xml:space="preserve"> society and</w:t>
      </w:r>
      <w:r w:rsidRPr="006B3A97">
        <w:rPr>
          <w:lang w:val="en-GB"/>
        </w:rPr>
        <w:t xml:space="preserve"> the labour market</w:t>
      </w:r>
      <w:r w:rsidRPr="006B3A97">
        <w:rPr>
          <w:rFonts w:cstheme="minorHAnsi"/>
          <w:lang w:val="en-GB"/>
        </w:rPr>
        <w:t>,</w:t>
      </w:r>
    </w:p>
    <w:p w14:paraId="00723CCD" w14:textId="084F1949" w:rsidR="006B3A97" w:rsidRPr="006B3A97" w:rsidRDefault="006B3A97" w:rsidP="006B3A97">
      <w:pPr>
        <w:spacing w:after="120" w:line="240" w:lineRule="auto"/>
        <w:jc w:val="both"/>
        <w:rPr>
          <w:lang w:val="en-GB"/>
        </w:rPr>
      </w:pPr>
      <w:r w:rsidRPr="006B3A97">
        <w:rPr>
          <w:i/>
          <w:iCs/>
          <w:lang w:val="en-GB"/>
        </w:rPr>
        <w:t>Encouraging</w:t>
      </w:r>
      <w:r w:rsidRPr="006B3A97">
        <w:rPr>
          <w:lang w:val="en-GB"/>
        </w:rPr>
        <w:t xml:space="preserve"> </w:t>
      </w:r>
      <w:r w:rsidRPr="006B3A97">
        <w:rPr>
          <w:b/>
          <w:bCs/>
          <w:lang w:val="en-GB"/>
        </w:rPr>
        <w:t>lifelong learning</w:t>
      </w:r>
      <w:r w:rsidRPr="006B3A97">
        <w:rPr>
          <w:lang w:val="en-GB"/>
        </w:rPr>
        <w:t>, that is, continuous acquiring of knowledge and skills (formal</w:t>
      </w:r>
      <w:r w:rsidR="004B74F3">
        <w:rPr>
          <w:lang w:val="en-GB"/>
        </w:rPr>
        <w:t>,</w:t>
      </w:r>
      <w:r w:rsidRPr="006B3A97">
        <w:rPr>
          <w:lang w:val="en-GB"/>
        </w:rPr>
        <w:t xml:space="preserve"> non-formal</w:t>
      </w:r>
      <w:r w:rsidR="004B74F3">
        <w:rPr>
          <w:lang w:val="en-GB"/>
        </w:rPr>
        <w:t xml:space="preserve"> and informal</w:t>
      </w:r>
      <w:r w:rsidRPr="006B3A97">
        <w:rPr>
          <w:lang w:val="en-GB"/>
        </w:rPr>
        <w:t xml:space="preserve"> learning), recognising that an effective lifelong learning system can be developed only with active involvement and support of government, employers, workers and educational institutions, which is why</w:t>
      </w:r>
      <w:r w:rsidR="004B74F3">
        <w:rPr>
          <w:lang w:val="en-GB"/>
        </w:rPr>
        <w:t>, in addition to greater public investment in adult education,</w:t>
      </w:r>
      <w:r w:rsidRPr="006B3A97">
        <w:rPr>
          <w:lang w:val="en-GB"/>
        </w:rPr>
        <w:t xml:space="preserve"> it is ever more so important to create appropriate incentives to boost private sector investment in human capital development and staff training,</w:t>
      </w:r>
    </w:p>
    <w:p w14:paraId="39932405" w14:textId="77777777" w:rsidR="006B3A97" w:rsidRPr="006B3A97" w:rsidRDefault="006B3A97" w:rsidP="006B3A97">
      <w:pPr>
        <w:spacing w:after="120" w:line="240" w:lineRule="auto"/>
        <w:jc w:val="both"/>
        <w:rPr>
          <w:lang w:val="en-GB"/>
        </w:rPr>
      </w:pPr>
      <w:r w:rsidRPr="006B3A97">
        <w:rPr>
          <w:i/>
          <w:iCs/>
          <w:lang w:val="en-GB"/>
        </w:rPr>
        <w:t>Advancing</w:t>
      </w:r>
      <w:r w:rsidRPr="006B3A97">
        <w:rPr>
          <w:lang w:val="en-GB"/>
        </w:rPr>
        <w:t xml:space="preserve"> the </w:t>
      </w:r>
      <w:r w:rsidRPr="006B3A97">
        <w:rPr>
          <w:b/>
          <w:bCs/>
          <w:lang w:val="en-GB"/>
        </w:rPr>
        <w:t>process of digitalization in education</w:t>
      </w:r>
      <w:r w:rsidRPr="006B3A97">
        <w:rPr>
          <w:lang w:val="en-GB"/>
        </w:rPr>
        <w:t xml:space="preserve"> by striving to ensure unhindered access to digital learning through the development of basic technical standards for information and communication technologies in educational systems in Bosnia and Herzegovina,</w:t>
      </w:r>
    </w:p>
    <w:p w14:paraId="08C93D63" w14:textId="6386C44B" w:rsidR="004B74F3" w:rsidRPr="006B3A97" w:rsidRDefault="004B74F3" w:rsidP="004B74F3">
      <w:pPr>
        <w:spacing w:after="120" w:line="240" w:lineRule="auto"/>
        <w:jc w:val="both"/>
        <w:rPr>
          <w:i/>
          <w:iCs/>
          <w:lang w:val="en-GB"/>
        </w:rPr>
      </w:pPr>
      <w:r w:rsidRPr="006B3A97">
        <w:rPr>
          <w:i/>
          <w:iCs/>
          <w:lang w:val="en-GB"/>
        </w:rPr>
        <w:t>Striving</w:t>
      </w:r>
      <w:r w:rsidRPr="006B3A97">
        <w:rPr>
          <w:lang w:val="en-GB"/>
        </w:rPr>
        <w:t xml:space="preserve"> to achieve the </w:t>
      </w:r>
      <w:r w:rsidRPr="004B74F3">
        <w:rPr>
          <w:b/>
          <w:bCs/>
          <w:lang w:val="en-GB"/>
        </w:rPr>
        <w:t>share of education in GDP and public spending</w:t>
      </w:r>
      <w:r>
        <w:rPr>
          <w:lang w:val="en-GB"/>
        </w:rPr>
        <w:t xml:space="preserve"> </w:t>
      </w:r>
      <w:r w:rsidRPr="006B3A97">
        <w:rPr>
          <w:lang w:val="en-GB"/>
        </w:rPr>
        <w:t>at 4 to 6 %</w:t>
      </w:r>
      <w:r>
        <w:rPr>
          <w:lang w:val="en-GB"/>
        </w:rPr>
        <w:t xml:space="preserve">, that is, </w:t>
      </w:r>
      <w:r w:rsidRPr="006B3A97">
        <w:rPr>
          <w:lang w:val="en-GB"/>
        </w:rPr>
        <w:t xml:space="preserve">15 to 20 %, bearing in mind the </w:t>
      </w:r>
      <w:r w:rsidRPr="006B3A97">
        <w:rPr>
          <w:i/>
          <w:iCs/>
          <w:lang w:val="en-GB"/>
        </w:rPr>
        <w:t xml:space="preserve">Incheon Declaration </w:t>
      </w:r>
      <w:r w:rsidRPr="006B3A97">
        <w:rPr>
          <w:lang w:val="en-GB"/>
        </w:rPr>
        <w:t>and</w:t>
      </w:r>
      <w:r w:rsidRPr="006B3A97">
        <w:rPr>
          <w:i/>
          <w:iCs/>
          <w:lang w:val="en-GB"/>
        </w:rPr>
        <w:t xml:space="preserve"> </w:t>
      </w:r>
      <w:r w:rsidRPr="006B3A97">
        <w:rPr>
          <w:lang w:val="en-GB"/>
        </w:rPr>
        <w:t>the</w:t>
      </w:r>
      <w:r w:rsidRPr="006B3A97">
        <w:rPr>
          <w:i/>
          <w:iCs/>
          <w:lang w:val="en-GB"/>
        </w:rPr>
        <w:t xml:space="preserve"> 2030 Education Framework for Action</w:t>
      </w:r>
      <w:r w:rsidRPr="006B3A97">
        <w:rPr>
          <w:rFonts w:cstheme="minorHAnsi"/>
          <w:i/>
          <w:lang w:val="en-GB"/>
        </w:rPr>
        <w:t>,</w:t>
      </w:r>
    </w:p>
    <w:p w14:paraId="5CD99959" w14:textId="3372F454" w:rsidR="006B3A97" w:rsidRPr="006B3A97" w:rsidRDefault="004B74F3" w:rsidP="006B3A97">
      <w:pPr>
        <w:spacing w:after="120" w:line="240" w:lineRule="auto"/>
        <w:jc w:val="both"/>
        <w:rPr>
          <w:i/>
          <w:iCs/>
          <w:lang w:val="en-GB"/>
        </w:rPr>
      </w:pPr>
      <w:r>
        <w:rPr>
          <w:i/>
          <w:iCs/>
          <w:lang w:val="en-GB"/>
        </w:rPr>
        <w:t xml:space="preserve">Supporting </w:t>
      </w:r>
      <w:r w:rsidR="006B3A97" w:rsidRPr="004B74F3">
        <w:rPr>
          <w:b/>
          <w:bCs/>
          <w:lang w:val="en-GB"/>
        </w:rPr>
        <w:t>reallocation of funds within existing budgets</w:t>
      </w:r>
      <w:r w:rsidR="006B3A97" w:rsidRPr="006B3A97">
        <w:rPr>
          <w:lang w:val="en-GB"/>
        </w:rPr>
        <w:t xml:space="preserve"> to respond to existing challenges in accessing education and achieving equal, quality and inclusive education,</w:t>
      </w:r>
    </w:p>
    <w:p w14:paraId="0F78A1A0" w14:textId="1BD9B9AE" w:rsidR="006B3A97" w:rsidRDefault="006B3A97" w:rsidP="006B3A97">
      <w:pPr>
        <w:spacing w:after="120" w:line="240" w:lineRule="auto"/>
        <w:jc w:val="both"/>
        <w:rPr>
          <w:lang w:val="en-GB"/>
        </w:rPr>
      </w:pPr>
      <w:r w:rsidRPr="006B3A97">
        <w:rPr>
          <w:i/>
          <w:iCs/>
          <w:lang w:val="en-GB"/>
        </w:rPr>
        <w:t>Acknowledging</w:t>
      </w:r>
      <w:r w:rsidRPr="006B3A97">
        <w:rPr>
          <w:lang w:val="en-GB"/>
        </w:rPr>
        <w:t xml:space="preserve"> </w:t>
      </w:r>
      <w:r w:rsidRPr="006B3A97">
        <w:rPr>
          <w:b/>
          <w:bCs/>
          <w:lang w:val="en-GB"/>
        </w:rPr>
        <w:t>education as a</w:t>
      </w:r>
      <w:r w:rsidR="004B74F3">
        <w:rPr>
          <w:b/>
          <w:bCs/>
          <w:lang w:val="en-GB"/>
        </w:rPr>
        <w:t xml:space="preserve"> driver </w:t>
      </w:r>
      <w:r w:rsidR="004B74F3">
        <w:rPr>
          <w:lang w:val="en-GB"/>
        </w:rPr>
        <w:t>in</w:t>
      </w:r>
      <w:r w:rsidRPr="006B3A97">
        <w:rPr>
          <w:lang w:val="en-GB"/>
        </w:rPr>
        <w:t xml:space="preserve"> delivering on the Sustainable Development Goals Framework in Bosnia and Herzegovina, which contributes to smart growth and a society of equal opportunities in order to deliver on the principle of Agenda 2030 Leave no one behind,</w:t>
      </w:r>
    </w:p>
    <w:p w14:paraId="5D78B17A" w14:textId="67FF2359" w:rsidR="004B74F3" w:rsidRPr="004B74F3" w:rsidRDefault="004B74F3" w:rsidP="004B74F3">
      <w:pPr>
        <w:spacing w:after="120" w:line="240" w:lineRule="auto"/>
        <w:jc w:val="both"/>
        <w:rPr>
          <w:lang w:val="en-GB"/>
        </w:rPr>
      </w:pPr>
      <w:r w:rsidRPr="004B74F3">
        <w:rPr>
          <w:i/>
          <w:iCs/>
          <w:lang w:val="en-GB"/>
        </w:rPr>
        <w:t>Strengthening</w:t>
      </w:r>
      <w:r w:rsidRPr="004B74F3">
        <w:rPr>
          <w:lang w:val="en-GB"/>
        </w:rPr>
        <w:t xml:space="preserve"> our responsibilities for </w:t>
      </w:r>
      <w:r w:rsidRPr="004B74F3">
        <w:rPr>
          <w:b/>
          <w:bCs/>
          <w:lang w:val="en-GB"/>
        </w:rPr>
        <w:t xml:space="preserve">delivering on SDG 4 </w:t>
      </w:r>
      <w:r w:rsidR="007766B3">
        <w:rPr>
          <w:b/>
          <w:bCs/>
          <w:lang w:val="en-GB"/>
        </w:rPr>
        <w:t xml:space="preserve">Quality Education </w:t>
      </w:r>
      <w:r w:rsidRPr="004B74F3">
        <w:rPr>
          <w:b/>
          <w:bCs/>
          <w:lang w:val="en-GB"/>
        </w:rPr>
        <w:t>targets</w:t>
      </w:r>
      <w:r w:rsidRPr="004B74F3">
        <w:rPr>
          <w:lang w:val="en-GB"/>
        </w:rPr>
        <w:t xml:space="preserve">, by developing statistical information systems, thus improving informed </w:t>
      </w:r>
      <w:r w:rsidR="007766B3">
        <w:rPr>
          <w:lang w:val="en-GB"/>
        </w:rPr>
        <w:t xml:space="preserve">public </w:t>
      </w:r>
      <w:r w:rsidRPr="004B74F3">
        <w:rPr>
          <w:lang w:val="en-GB"/>
        </w:rPr>
        <w:t>policy and budget planning,</w:t>
      </w:r>
    </w:p>
    <w:p w14:paraId="4B083053" w14:textId="03C3A7B0" w:rsidR="00DA1A13" w:rsidRPr="00410199" w:rsidRDefault="004B74F3" w:rsidP="00820A55">
      <w:pPr>
        <w:spacing w:after="120" w:line="240" w:lineRule="auto"/>
        <w:jc w:val="both"/>
        <w:rPr>
          <w:rFonts w:cstheme="minorHAnsi"/>
          <w:lang w:val="en-GB"/>
        </w:rPr>
      </w:pPr>
      <w:r w:rsidRPr="004B74F3">
        <w:rPr>
          <w:i/>
          <w:iCs/>
          <w:lang w:val="en-GB"/>
        </w:rPr>
        <w:t xml:space="preserve">Advancing </w:t>
      </w:r>
      <w:r w:rsidRPr="004B74F3">
        <w:rPr>
          <w:b/>
          <w:bCs/>
          <w:lang w:val="en-GB"/>
        </w:rPr>
        <w:t>gender equality and women’s empowerment</w:t>
      </w:r>
      <w:r w:rsidRPr="004B74F3">
        <w:rPr>
          <w:lang w:val="en-GB"/>
        </w:rPr>
        <w:t xml:space="preserve"> approach to ensure that gender-responsive measures transforming the education system are indeed priority</w:t>
      </w:r>
      <w:r w:rsidR="00DA1A13" w:rsidRPr="00410199">
        <w:rPr>
          <w:rFonts w:cstheme="minorHAnsi"/>
          <w:lang w:val="en-GB"/>
        </w:rPr>
        <w:t>.</w:t>
      </w:r>
    </w:p>
    <w:p w14:paraId="3A6AD052" w14:textId="3135E742" w:rsidR="00E74725" w:rsidRPr="00410199" w:rsidRDefault="00E74725" w:rsidP="00EA7CD7">
      <w:pPr>
        <w:spacing w:after="120" w:line="240" w:lineRule="auto"/>
        <w:ind w:left="360"/>
        <w:jc w:val="both"/>
        <w:rPr>
          <w:lang w:val="en-GB"/>
        </w:rPr>
      </w:pPr>
    </w:p>
    <w:sectPr w:rsidR="00E74725" w:rsidRPr="0041019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E1165" w14:textId="77777777" w:rsidR="007A2B0A" w:rsidRDefault="007A2B0A" w:rsidP="00AC0CCA">
      <w:pPr>
        <w:spacing w:after="0" w:line="240" w:lineRule="auto"/>
      </w:pPr>
      <w:r>
        <w:separator/>
      </w:r>
    </w:p>
  </w:endnote>
  <w:endnote w:type="continuationSeparator" w:id="0">
    <w:p w14:paraId="4B7B2392" w14:textId="77777777" w:rsidR="007A2B0A" w:rsidRDefault="007A2B0A" w:rsidP="00AC0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C5B1F" w14:textId="77777777" w:rsidR="00B93176" w:rsidRDefault="00B931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8606" w14:textId="77777777" w:rsidR="00B93176" w:rsidRDefault="00B931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39C51" w14:textId="77777777" w:rsidR="00B93176" w:rsidRDefault="00B93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9EA49" w14:textId="77777777" w:rsidR="007A2B0A" w:rsidRDefault="007A2B0A" w:rsidP="00AC0CCA">
      <w:pPr>
        <w:spacing w:after="0" w:line="240" w:lineRule="auto"/>
      </w:pPr>
      <w:r>
        <w:separator/>
      </w:r>
    </w:p>
  </w:footnote>
  <w:footnote w:type="continuationSeparator" w:id="0">
    <w:p w14:paraId="32A53EF8" w14:textId="77777777" w:rsidR="007A2B0A" w:rsidRDefault="007A2B0A" w:rsidP="00AC0CCA">
      <w:pPr>
        <w:spacing w:after="0" w:line="240" w:lineRule="auto"/>
      </w:pPr>
      <w:r>
        <w:continuationSeparator/>
      </w:r>
    </w:p>
  </w:footnote>
  <w:footnote w:id="1">
    <w:p w14:paraId="37915C94" w14:textId="77777777" w:rsidR="006B3A97" w:rsidRPr="006B3A97" w:rsidRDefault="006B3A97" w:rsidP="006B3A97">
      <w:pPr>
        <w:pStyle w:val="FootnoteText"/>
      </w:pPr>
      <w:r w:rsidRPr="006B3A97">
        <w:rPr>
          <w:rStyle w:val="FootnoteReference"/>
        </w:rPr>
        <w:footnoteRef/>
      </w:r>
      <w:r w:rsidRPr="006B3A97">
        <w:t xml:space="preserve"> Pedagogical-psychological-didactic-methodological competencies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A626A" w14:textId="77777777" w:rsidR="00B93176" w:rsidRDefault="00B931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CF83A" w14:textId="3B2118C4" w:rsidR="00B93176" w:rsidRDefault="00B931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878E3" w14:textId="77777777" w:rsidR="00B93176" w:rsidRDefault="00B931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2696189"/>
    <w:multiLevelType w:val="hybridMultilevel"/>
    <w:tmpl w:val="200B0D7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C84A75"/>
    <w:multiLevelType w:val="hybridMultilevel"/>
    <w:tmpl w:val="65EEB416"/>
    <w:lvl w:ilvl="0" w:tplc="10FAB398">
      <w:start w:val="2"/>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20843"/>
    <w:multiLevelType w:val="hybridMultilevel"/>
    <w:tmpl w:val="3E76A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A01BB"/>
    <w:multiLevelType w:val="hybridMultilevel"/>
    <w:tmpl w:val="095C5A3A"/>
    <w:lvl w:ilvl="0" w:tplc="10FAB398">
      <w:start w:val="2"/>
      <w:numFmt w:val="bullet"/>
      <w:lvlText w:val="-"/>
      <w:lvlJc w:val="left"/>
      <w:pPr>
        <w:ind w:left="720" w:hanging="360"/>
      </w:pPr>
      <w:rPr>
        <w:rFonts w:ascii="Calibri Light" w:eastAsiaTheme="minorHAnsi" w:hAnsi="Calibri Light" w:cs="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1F0BC4"/>
    <w:multiLevelType w:val="hybridMultilevel"/>
    <w:tmpl w:val="3BF6CE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446B50"/>
    <w:multiLevelType w:val="hybridMultilevel"/>
    <w:tmpl w:val="44BA25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6038CC"/>
    <w:multiLevelType w:val="hybridMultilevel"/>
    <w:tmpl w:val="66AC3CE8"/>
    <w:lvl w:ilvl="0" w:tplc="10FAB398">
      <w:start w:val="2"/>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E844AE"/>
    <w:multiLevelType w:val="multilevel"/>
    <w:tmpl w:val="56B029AC"/>
    <w:lvl w:ilvl="0">
      <w:start w:val="1"/>
      <w:numFmt w:val="decimal"/>
      <w:lvlText w:val="%1."/>
      <w:lvlJc w:val="left"/>
      <w:pPr>
        <w:ind w:left="720" w:hanging="360"/>
      </w:pPr>
      <w:rPr>
        <w:rFonts w:hint="default"/>
        <w:color w:val="FFFFFF" w:themeColor="background1"/>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6906F8A"/>
    <w:multiLevelType w:val="hybridMultilevel"/>
    <w:tmpl w:val="98F43E92"/>
    <w:lvl w:ilvl="0" w:tplc="10FAB398">
      <w:start w:val="2"/>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393DF0"/>
    <w:multiLevelType w:val="hybridMultilevel"/>
    <w:tmpl w:val="AB7C2DAE"/>
    <w:lvl w:ilvl="0" w:tplc="08090017">
      <w:start w:val="1"/>
      <w:numFmt w:val="lowerLetter"/>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EF42A6"/>
    <w:multiLevelType w:val="hybridMultilevel"/>
    <w:tmpl w:val="C8C6F9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953AEF"/>
    <w:multiLevelType w:val="hybridMultilevel"/>
    <w:tmpl w:val="EC96F2C4"/>
    <w:lvl w:ilvl="0" w:tplc="0B3C73E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D96DD9"/>
    <w:multiLevelType w:val="hybridMultilevel"/>
    <w:tmpl w:val="F9665D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4B4629"/>
    <w:multiLevelType w:val="hybridMultilevel"/>
    <w:tmpl w:val="06B0FE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3D0324"/>
    <w:multiLevelType w:val="hybridMultilevel"/>
    <w:tmpl w:val="3BF6CE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C4689E"/>
    <w:multiLevelType w:val="hybridMultilevel"/>
    <w:tmpl w:val="ED28A19C"/>
    <w:lvl w:ilvl="0" w:tplc="7F6CE8C0">
      <w:numFmt w:val="bullet"/>
      <w:lvlText w:val=""/>
      <w:lvlJc w:val="left"/>
      <w:pPr>
        <w:ind w:left="720" w:hanging="360"/>
      </w:pPr>
      <w:rPr>
        <w:rFonts w:ascii="Symbol" w:eastAsia="Calibri" w:hAnsi="Symbol" w:cs="Calibri" w:hint="default"/>
        <w:b w:val="0"/>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B87D16"/>
    <w:multiLevelType w:val="hybridMultilevel"/>
    <w:tmpl w:val="A0D217B6"/>
    <w:lvl w:ilvl="0" w:tplc="60DC6080">
      <w:start w:val="3"/>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ED4F98"/>
    <w:multiLevelType w:val="hybridMultilevel"/>
    <w:tmpl w:val="5E76735C"/>
    <w:lvl w:ilvl="0" w:tplc="10FAB398">
      <w:start w:val="2"/>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984B7C"/>
    <w:multiLevelType w:val="hybridMultilevel"/>
    <w:tmpl w:val="3BF6CE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8"/>
  </w:num>
  <w:num w:numId="4">
    <w:abstractNumId w:val="14"/>
  </w:num>
  <w:num w:numId="5">
    <w:abstractNumId w:val="4"/>
  </w:num>
  <w:num w:numId="6">
    <w:abstractNumId w:val="0"/>
  </w:num>
  <w:num w:numId="7">
    <w:abstractNumId w:val="17"/>
  </w:num>
  <w:num w:numId="8">
    <w:abstractNumId w:val="1"/>
  </w:num>
  <w:num w:numId="9">
    <w:abstractNumId w:val="11"/>
  </w:num>
  <w:num w:numId="10">
    <w:abstractNumId w:val="6"/>
  </w:num>
  <w:num w:numId="11">
    <w:abstractNumId w:val="12"/>
  </w:num>
  <w:num w:numId="12">
    <w:abstractNumId w:val="15"/>
  </w:num>
  <w:num w:numId="13">
    <w:abstractNumId w:val="7"/>
  </w:num>
  <w:num w:numId="14">
    <w:abstractNumId w:val="5"/>
  </w:num>
  <w:num w:numId="15">
    <w:abstractNumId w:val="3"/>
  </w:num>
  <w:num w:numId="16">
    <w:abstractNumId w:val="8"/>
  </w:num>
  <w:num w:numId="17">
    <w:abstractNumId w:val="2"/>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35A"/>
    <w:rsid w:val="00001256"/>
    <w:rsid w:val="00020C33"/>
    <w:rsid w:val="0004084C"/>
    <w:rsid w:val="00084D85"/>
    <w:rsid w:val="000C5E15"/>
    <w:rsid w:val="000D412F"/>
    <w:rsid w:val="000D7C85"/>
    <w:rsid w:val="000F48A5"/>
    <w:rsid w:val="000F66A9"/>
    <w:rsid w:val="001134DF"/>
    <w:rsid w:val="001142CA"/>
    <w:rsid w:val="001273FD"/>
    <w:rsid w:val="0018597F"/>
    <w:rsid w:val="001A298C"/>
    <w:rsid w:val="001A2C45"/>
    <w:rsid w:val="001B30BD"/>
    <w:rsid w:val="001C3F86"/>
    <w:rsid w:val="001F4384"/>
    <w:rsid w:val="002068B9"/>
    <w:rsid w:val="00211356"/>
    <w:rsid w:val="0022318D"/>
    <w:rsid w:val="00246F07"/>
    <w:rsid w:val="002560F7"/>
    <w:rsid w:val="00276579"/>
    <w:rsid w:val="00281893"/>
    <w:rsid w:val="002C1CB0"/>
    <w:rsid w:val="002C7349"/>
    <w:rsid w:val="002F6208"/>
    <w:rsid w:val="00313C21"/>
    <w:rsid w:val="0032325F"/>
    <w:rsid w:val="00331355"/>
    <w:rsid w:val="00351AA4"/>
    <w:rsid w:val="0037028D"/>
    <w:rsid w:val="0038348F"/>
    <w:rsid w:val="003A5BFE"/>
    <w:rsid w:val="003B1FEA"/>
    <w:rsid w:val="003B5ABF"/>
    <w:rsid w:val="00410199"/>
    <w:rsid w:val="00415F82"/>
    <w:rsid w:val="004208C5"/>
    <w:rsid w:val="004521FB"/>
    <w:rsid w:val="0045688A"/>
    <w:rsid w:val="004767FF"/>
    <w:rsid w:val="004826D6"/>
    <w:rsid w:val="004B74F3"/>
    <w:rsid w:val="004E29AB"/>
    <w:rsid w:val="004F6584"/>
    <w:rsid w:val="005009A1"/>
    <w:rsid w:val="005062C8"/>
    <w:rsid w:val="00525739"/>
    <w:rsid w:val="005362DC"/>
    <w:rsid w:val="0054033F"/>
    <w:rsid w:val="00546AF5"/>
    <w:rsid w:val="0057346C"/>
    <w:rsid w:val="005877E7"/>
    <w:rsid w:val="00596970"/>
    <w:rsid w:val="005A06FE"/>
    <w:rsid w:val="005B07E6"/>
    <w:rsid w:val="005B31AE"/>
    <w:rsid w:val="005D7D70"/>
    <w:rsid w:val="005E24FB"/>
    <w:rsid w:val="005F31F5"/>
    <w:rsid w:val="00600D05"/>
    <w:rsid w:val="0060338D"/>
    <w:rsid w:val="00627BA1"/>
    <w:rsid w:val="00660546"/>
    <w:rsid w:val="00662A16"/>
    <w:rsid w:val="00676395"/>
    <w:rsid w:val="006B3A97"/>
    <w:rsid w:val="006C4780"/>
    <w:rsid w:val="006C6D21"/>
    <w:rsid w:val="006E1699"/>
    <w:rsid w:val="00724B9E"/>
    <w:rsid w:val="00733CA8"/>
    <w:rsid w:val="0073676E"/>
    <w:rsid w:val="00754CFC"/>
    <w:rsid w:val="007766B3"/>
    <w:rsid w:val="00790749"/>
    <w:rsid w:val="007A12E7"/>
    <w:rsid w:val="007A2B0A"/>
    <w:rsid w:val="007D1A8B"/>
    <w:rsid w:val="007E65A4"/>
    <w:rsid w:val="007E79DC"/>
    <w:rsid w:val="007F0064"/>
    <w:rsid w:val="007F137E"/>
    <w:rsid w:val="007F2531"/>
    <w:rsid w:val="007F628C"/>
    <w:rsid w:val="00804209"/>
    <w:rsid w:val="00820A55"/>
    <w:rsid w:val="00831549"/>
    <w:rsid w:val="00837815"/>
    <w:rsid w:val="00861955"/>
    <w:rsid w:val="00865548"/>
    <w:rsid w:val="0089619D"/>
    <w:rsid w:val="00897F63"/>
    <w:rsid w:val="008C47F1"/>
    <w:rsid w:val="008C7FB2"/>
    <w:rsid w:val="008D7E31"/>
    <w:rsid w:val="00941D21"/>
    <w:rsid w:val="0095655B"/>
    <w:rsid w:val="00956F55"/>
    <w:rsid w:val="00962FE3"/>
    <w:rsid w:val="00987A75"/>
    <w:rsid w:val="00990D5E"/>
    <w:rsid w:val="009A312F"/>
    <w:rsid w:val="009A70A8"/>
    <w:rsid w:val="009C5EC0"/>
    <w:rsid w:val="009E6AEA"/>
    <w:rsid w:val="00A113D6"/>
    <w:rsid w:val="00A24EEC"/>
    <w:rsid w:val="00A365A5"/>
    <w:rsid w:val="00A37F7B"/>
    <w:rsid w:val="00A46FF7"/>
    <w:rsid w:val="00A50AD4"/>
    <w:rsid w:val="00A624B3"/>
    <w:rsid w:val="00A91005"/>
    <w:rsid w:val="00AA6DFA"/>
    <w:rsid w:val="00AC0CCA"/>
    <w:rsid w:val="00AC1D39"/>
    <w:rsid w:val="00B0435A"/>
    <w:rsid w:val="00B161F3"/>
    <w:rsid w:val="00B3230E"/>
    <w:rsid w:val="00B64C2A"/>
    <w:rsid w:val="00B92708"/>
    <w:rsid w:val="00B93176"/>
    <w:rsid w:val="00BE3645"/>
    <w:rsid w:val="00BE53F3"/>
    <w:rsid w:val="00BE77BF"/>
    <w:rsid w:val="00C04C1A"/>
    <w:rsid w:val="00C3155F"/>
    <w:rsid w:val="00C86D8A"/>
    <w:rsid w:val="00C93F51"/>
    <w:rsid w:val="00CF1E86"/>
    <w:rsid w:val="00CF5B90"/>
    <w:rsid w:val="00D02C1B"/>
    <w:rsid w:val="00D14B8B"/>
    <w:rsid w:val="00D377D7"/>
    <w:rsid w:val="00D42083"/>
    <w:rsid w:val="00D845EE"/>
    <w:rsid w:val="00DA1A13"/>
    <w:rsid w:val="00DC693C"/>
    <w:rsid w:val="00DD4CCA"/>
    <w:rsid w:val="00DE036A"/>
    <w:rsid w:val="00E043E8"/>
    <w:rsid w:val="00E244DC"/>
    <w:rsid w:val="00E43277"/>
    <w:rsid w:val="00E54C04"/>
    <w:rsid w:val="00E62503"/>
    <w:rsid w:val="00E74725"/>
    <w:rsid w:val="00EA0454"/>
    <w:rsid w:val="00EA183E"/>
    <w:rsid w:val="00EA5DF7"/>
    <w:rsid w:val="00EA7CD7"/>
    <w:rsid w:val="00EF19AC"/>
    <w:rsid w:val="00F14688"/>
    <w:rsid w:val="00F323F3"/>
    <w:rsid w:val="00F438BA"/>
    <w:rsid w:val="00F813BD"/>
    <w:rsid w:val="00F86B6E"/>
    <w:rsid w:val="00FD622D"/>
    <w:rsid w:val="00FE2788"/>
    <w:rsid w:val="00FE75BC"/>
    <w:rsid w:val="04AD8F66"/>
    <w:rsid w:val="0D519EF1"/>
    <w:rsid w:val="1F45300C"/>
    <w:rsid w:val="3B3A538A"/>
    <w:rsid w:val="43CAA320"/>
    <w:rsid w:val="4C2661BD"/>
    <w:rsid w:val="5E29557E"/>
    <w:rsid w:val="63ACC1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E43706"/>
  <w15:chartTrackingRefBased/>
  <w15:docId w15:val="{0EC94DAD-DE89-4433-8AF8-06C4D9471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35A"/>
  </w:style>
  <w:style w:type="paragraph" w:styleId="Heading2">
    <w:name w:val="heading 2"/>
    <w:basedOn w:val="Normal"/>
    <w:next w:val="Normal"/>
    <w:link w:val="Heading2Char"/>
    <w:uiPriority w:val="9"/>
    <w:unhideWhenUsed/>
    <w:qFormat/>
    <w:rsid w:val="00AC0CCA"/>
    <w:pPr>
      <w:keepNext/>
      <w:keepLines/>
      <w:overflowPunct w:val="0"/>
      <w:autoSpaceDE w:val="0"/>
      <w:autoSpaceDN w:val="0"/>
      <w:adjustRightInd w:val="0"/>
      <w:spacing w:before="40" w:after="0" w:line="240" w:lineRule="auto"/>
      <w:textAlignment w:val="baseline"/>
      <w:outlineLvl w:val="1"/>
    </w:pPr>
    <w:rPr>
      <w:rFonts w:ascii="Calibri Light" w:eastAsia="Times New Roman" w:hAnsi="Calibri Light" w:cs="Times New Roman"/>
      <w:color w:val="2F5496"/>
      <w:sz w:val="26"/>
      <w:szCs w:val="26"/>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 (numbered (a)),List Paragraph Char Char Char,Use Case List Paragraph,List Paragraph2,Colorful List - Accent 11,Dot pt,F5 List Paragraph,Indicator Text,Numbered Para 1,Bullet 1,List Paragraph12,Bullet Points"/>
    <w:basedOn w:val="Normal"/>
    <w:link w:val="ListParagraphChar"/>
    <w:uiPriority w:val="34"/>
    <w:qFormat/>
    <w:rsid w:val="00B0435A"/>
    <w:pPr>
      <w:ind w:left="720"/>
      <w:contextualSpacing/>
    </w:pPr>
  </w:style>
  <w:style w:type="paragraph" w:customStyle="1" w:styleId="Default">
    <w:name w:val="Default"/>
    <w:rsid w:val="00B0435A"/>
    <w:pPr>
      <w:autoSpaceDE w:val="0"/>
      <w:autoSpaceDN w:val="0"/>
      <w:adjustRightInd w:val="0"/>
      <w:spacing w:after="0" w:line="240" w:lineRule="auto"/>
    </w:pPr>
    <w:rPr>
      <w:rFonts w:ascii="Myriad Pro Light" w:hAnsi="Myriad Pro Light" w:cs="Myriad Pro Light"/>
      <w:color w:val="000000"/>
      <w:sz w:val="24"/>
      <w:szCs w:val="24"/>
    </w:rPr>
  </w:style>
  <w:style w:type="paragraph" w:customStyle="1" w:styleId="Pa8">
    <w:name w:val="Pa8"/>
    <w:basedOn w:val="Default"/>
    <w:next w:val="Default"/>
    <w:uiPriority w:val="99"/>
    <w:rsid w:val="00B0435A"/>
    <w:pPr>
      <w:spacing w:line="281" w:lineRule="atLeast"/>
    </w:pPr>
    <w:rPr>
      <w:rFonts w:cstheme="minorBidi"/>
      <w:color w:val="auto"/>
    </w:rPr>
  </w:style>
  <w:style w:type="paragraph" w:styleId="NoSpacing">
    <w:name w:val="No Spacing"/>
    <w:uiPriority w:val="1"/>
    <w:qFormat/>
    <w:rsid w:val="00B0435A"/>
    <w:pPr>
      <w:spacing w:after="0" w:line="240" w:lineRule="auto"/>
    </w:pPr>
  </w:style>
  <w:style w:type="character" w:customStyle="1" w:styleId="A6">
    <w:name w:val="A6"/>
    <w:uiPriority w:val="99"/>
    <w:rsid w:val="00E74725"/>
    <w:rPr>
      <w:rFonts w:ascii="Calibri" w:hAnsi="Calibri" w:cs="Calibri"/>
      <w:color w:val="000000"/>
      <w:sz w:val="21"/>
      <w:szCs w:val="21"/>
    </w:rPr>
  </w:style>
  <w:style w:type="paragraph" w:customStyle="1" w:styleId="Pa7">
    <w:name w:val="Pa7"/>
    <w:basedOn w:val="Default"/>
    <w:next w:val="Default"/>
    <w:uiPriority w:val="99"/>
    <w:rsid w:val="00A113D6"/>
    <w:pPr>
      <w:spacing w:line="211" w:lineRule="atLeast"/>
    </w:pPr>
    <w:rPr>
      <w:rFonts w:cstheme="minorBidi"/>
      <w:color w:val="auto"/>
    </w:rPr>
  </w:style>
  <w:style w:type="paragraph" w:styleId="BalloonText">
    <w:name w:val="Balloon Text"/>
    <w:basedOn w:val="Normal"/>
    <w:link w:val="BalloonTextChar"/>
    <w:uiPriority w:val="99"/>
    <w:semiHidden/>
    <w:unhideWhenUsed/>
    <w:rsid w:val="00A37F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F7B"/>
    <w:rPr>
      <w:rFonts w:ascii="Segoe UI" w:hAnsi="Segoe UI" w:cs="Segoe UI"/>
      <w:sz w:val="18"/>
      <w:szCs w:val="18"/>
    </w:rPr>
  </w:style>
  <w:style w:type="character" w:styleId="CommentReference">
    <w:name w:val="annotation reference"/>
    <w:basedOn w:val="DefaultParagraphFont"/>
    <w:uiPriority w:val="99"/>
    <w:semiHidden/>
    <w:unhideWhenUsed/>
    <w:rsid w:val="00CF5B90"/>
    <w:rPr>
      <w:sz w:val="16"/>
      <w:szCs w:val="16"/>
    </w:rPr>
  </w:style>
  <w:style w:type="paragraph" w:styleId="CommentText">
    <w:name w:val="annotation text"/>
    <w:basedOn w:val="Normal"/>
    <w:link w:val="CommentTextChar"/>
    <w:uiPriority w:val="99"/>
    <w:semiHidden/>
    <w:unhideWhenUsed/>
    <w:rsid w:val="00CF5B90"/>
    <w:pPr>
      <w:spacing w:line="240" w:lineRule="auto"/>
    </w:pPr>
    <w:rPr>
      <w:sz w:val="20"/>
      <w:szCs w:val="20"/>
    </w:rPr>
  </w:style>
  <w:style w:type="character" w:customStyle="1" w:styleId="CommentTextChar">
    <w:name w:val="Comment Text Char"/>
    <w:basedOn w:val="DefaultParagraphFont"/>
    <w:link w:val="CommentText"/>
    <w:uiPriority w:val="99"/>
    <w:semiHidden/>
    <w:rsid w:val="00CF5B90"/>
    <w:rPr>
      <w:sz w:val="20"/>
      <w:szCs w:val="20"/>
    </w:rPr>
  </w:style>
  <w:style w:type="paragraph" w:styleId="CommentSubject">
    <w:name w:val="annotation subject"/>
    <w:basedOn w:val="CommentText"/>
    <w:next w:val="CommentText"/>
    <w:link w:val="CommentSubjectChar"/>
    <w:uiPriority w:val="99"/>
    <w:semiHidden/>
    <w:unhideWhenUsed/>
    <w:rsid w:val="00CF5B90"/>
    <w:rPr>
      <w:b/>
      <w:bCs/>
    </w:rPr>
  </w:style>
  <w:style w:type="character" w:customStyle="1" w:styleId="CommentSubjectChar">
    <w:name w:val="Comment Subject Char"/>
    <w:basedOn w:val="CommentTextChar"/>
    <w:link w:val="CommentSubject"/>
    <w:uiPriority w:val="99"/>
    <w:semiHidden/>
    <w:rsid w:val="00CF5B90"/>
    <w:rPr>
      <w:b/>
      <w:bCs/>
      <w:sz w:val="20"/>
      <w:szCs w:val="20"/>
    </w:rPr>
  </w:style>
  <w:style w:type="table" w:styleId="TableGrid">
    <w:name w:val="Table Grid"/>
    <w:basedOn w:val="TableNormal"/>
    <w:uiPriority w:val="39"/>
    <w:rsid w:val="0004084C"/>
    <w:pPr>
      <w:spacing w:after="0" w:line="240" w:lineRule="auto"/>
    </w:pPr>
    <w:rPr>
      <w:szCs w:val="20"/>
      <w:lang w:val="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8B1DB1-Normal3">
    <w:name w:val="P68B1DB1-Normal3"/>
    <w:basedOn w:val="Normal"/>
    <w:rsid w:val="0004084C"/>
    <w:rPr>
      <w:rFonts w:cstheme="minorHAnsi"/>
      <w:szCs w:val="20"/>
      <w:lang w:val="hr"/>
    </w:rPr>
  </w:style>
  <w:style w:type="character" w:customStyle="1" w:styleId="ListParagraphChar">
    <w:name w:val="List Paragraph Char"/>
    <w:aliases w:val="List Paragraph1 Char,List Paragraph (numbered (a)) Char,List Paragraph Char Char Char Char,Use Case List Paragraph Char,List Paragraph2 Char,Colorful List - Accent 11 Char,Dot pt Char,F5 List Paragraph Char,Indicator Text Char"/>
    <w:link w:val="ListParagraph"/>
    <w:uiPriority w:val="34"/>
    <w:locked/>
    <w:rsid w:val="005877E7"/>
  </w:style>
  <w:style w:type="character" w:styleId="FootnoteReference">
    <w:name w:val="footnote reference"/>
    <w:aliases w:val="ftref,BVI fnr,Footnote text,Footnote Reference Number,Footnote Reference_LVL6,Footnote Reference_LVL61,Footnote Reference_LVL62,Footnote Reference_LVL63,Footnote Reference_LVL64,fr,16 Point,Superscript 6 Point,Times 10 Point,4_G,Ref,o"/>
    <w:link w:val="Char2"/>
    <w:unhideWhenUsed/>
    <w:qFormat/>
    <w:rsid w:val="00AC0CCA"/>
    <w:rPr>
      <w:vertAlign w:val="superscript"/>
    </w:rPr>
  </w:style>
  <w:style w:type="paragraph" w:customStyle="1" w:styleId="Char2">
    <w:name w:val="Char2"/>
    <w:basedOn w:val="Normal"/>
    <w:link w:val="FootnoteReference"/>
    <w:uiPriority w:val="99"/>
    <w:rsid w:val="00AC0CCA"/>
    <w:pPr>
      <w:spacing w:line="240" w:lineRule="exact"/>
    </w:pPr>
    <w:rPr>
      <w:vertAlign w:val="superscript"/>
    </w:rPr>
  </w:style>
  <w:style w:type="paragraph" w:styleId="FootnoteText">
    <w:name w:val="footnote text"/>
    <w:aliases w:val="FOOTNOTES,fn,single space,Footnote Text Char2 Char,Footnote Text Char1 Char Char,Footnote Text Char2 Char Char Char,Footnote Text Char1 Char Char Char Char,Footnote Text Char2 Char Char Char Char Char,ft,footnote text,Lábjegyzet-szöveg,f"/>
    <w:basedOn w:val="Normal"/>
    <w:link w:val="FootnoteTextChar"/>
    <w:unhideWhenUsed/>
    <w:qFormat/>
    <w:rsid w:val="00AC0CCA"/>
    <w:pPr>
      <w:spacing w:after="0" w:line="240" w:lineRule="auto"/>
    </w:pPr>
    <w:rPr>
      <w:rFonts w:ascii="Calibri" w:eastAsia="Calibri" w:hAnsi="Calibri" w:cs="Times New Roman"/>
      <w:sz w:val="20"/>
      <w:szCs w:val="20"/>
      <w:lang w:val="en-GB"/>
    </w:rPr>
  </w:style>
  <w:style w:type="character" w:customStyle="1" w:styleId="FootnoteTextChar">
    <w:name w:val="Footnote Text Char"/>
    <w:aliases w:val="FOOTNOTES Char,fn Char,single space Char,Footnote Text Char2 Char Char,Footnote Text Char1 Char Char Char,Footnote Text Char2 Char Char Char Char,Footnote Text Char1 Char Char Char Char Char,ft Char,footnote text Char,f Char"/>
    <w:basedOn w:val="DefaultParagraphFont"/>
    <w:link w:val="FootnoteText"/>
    <w:uiPriority w:val="99"/>
    <w:qFormat/>
    <w:rsid w:val="00AC0CCA"/>
    <w:rPr>
      <w:rFonts w:ascii="Calibri" w:eastAsia="Calibri" w:hAnsi="Calibri" w:cs="Times New Roman"/>
      <w:sz w:val="20"/>
      <w:szCs w:val="20"/>
      <w:lang w:val="en-GB"/>
    </w:rPr>
  </w:style>
  <w:style w:type="character" w:styleId="SubtleEmphasis">
    <w:name w:val="Subtle Emphasis"/>
    <w:basedOn w:val="DefaultParagraphFont"/>
    <w:uiPriority w:val="19"/>
    <w:qFormat/>
    <w:rsid w:val="00AC0CCA"/>
    <w:rPr>
      <w:i/>
      <w:iCs/>
      <w:color w:val="404040" w:themeColor="text1" w:themeTint="BF"/>
    </w:rPr>
  </w:style>
  <w:style w:type="character" w:customStyle="1" w:styleId="Heading2Char">
    <w:name w:val="Heading 2 Char"/>
    <w:basedOn w:val="DefaultParagraphFont"/>
    <w:link w:val="Heading2"/>
    <w:uiPriority w:val="9"/>
    <w:rsid w:val="00AC0CCA"/>
    <w:rPr>
      <w:rFonts w:ascii="Calibri Light" w:eastAsia="Times New Roman" w:hAnsi="Calibri Light" w:cs="Times New Roman"/>
      <w:color w:val="2F5496"/>
      <w:sz w:val="26"/>
      <w:szCs w:val="26"/>
      <w:lang w:val="bs-Latn-BA"/>
    </w:rPr>
  </w:style>
  <w:style w:type="paragraph" w:customStyle="1" w:styleId="P68B1DB1-Normal1">
    <w:name w:val="P68B1DB1-Normal1"/>
    <w:basedOn w:val="Normal"/>
    <w:rsid w:val="00B92708"/>
    <w:rPr>
      <w:rFonts w:cstheme="minorHAnsi"/>
      <w:b/>
      <w:color w:val="0070C0"/>
      <w:sz w:val="28"/>
      <w:szCs w:val="20"/>
      <w:lang w:val="hr"/>
    </w:rPr>
  </w:style>
  <w:style w:type="paragraph" w:customStyle="1" w:styleId="P68B1DB1-Normal2">
    <w:name w:val="P68B1DB1-Normal2"/>
    <w:basedOn w:val="Normal"/>
    <w:rsid w:val="00B92708"/>
    <w:rPr>
      <w:rFonts w:cstheme="minorHAnsi"/>
      <w:b/>
      <w:color w:val="0070C0"/>
      <w:szCs w:val="20"/>
      <w:lang w:val="hr"/>
    </w:rPr>
  </w:style>
  <w:style w:type="character" w:customStyle="1" w:styleId="None">
    <w:name w:val="None"/>
    <w:rsid w:val="00EF19AC"/>
  </w:style>
  <w:style w:type="paragraph" w:customStyle="1" w:styleId="Body">
    <w:name w:val="Body"/>
    <w:rsid w:val="00EF19A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paragraph" w:styleId="HTMLPreformatted">
    <w:name w:val="HTML Preformatted"/>
    <w:basedOn w:val="Normal"/>
    <w:link w:val="HTMLPreformattedChar"/>
    <w:uiPriority w:val="99"/>
    <w:semiHidden/>
    <w:unhideWhenUsed/>
    <w:rsid w:val="002C7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2C7349"/>
    <w:rPr>
      <w:rFonts w:ascii="Courier New" w:eastAsia="Times New Roman" w:hAnsi="Courier New" w:cs="Courier New"/>
      <w:sz w:val="20"/>
      <w:szCs w:val="20"/>
      <w:lang w:val="en-GB" w:eastAsia="en-GB"/>
    </w:rPr>
  </w:style>
  <w:style w:type="character" w:customStyle="1" w:styleId="y2iqfc">
    <w:name w:val="y2iqfc"/>
    <w:basedOn w:val="DefaultParagraphFont"/>
    <w:rsid w:val="002C7349"/>
  </w:style>
  <w:style w:type="paragraph" w:styleId="Header">
    <w:name w:val="header"/>
    <w:basedOn w:val="Normal"/>
    <w:link w:val="HeaderChar"/>
    <w:uiPriority w:val="99"/>
    <w:unhideWhenUsed/>
    <w:rsid w:val="00B931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3176"/>
  </w:style>
  <w:style w:type="paragraph" w:styleId="Footer">
    <w:name w:val="footer"/>
    <w:basedOn w:val="Normal"/>
    <w:link w:val="FooterChar"/>
    <w:uiPriority w:val="99"/>
    <w:unhideWhenUsed/>
    <w:rsid w:val="00B931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3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589154">
      <w:bodyDiv w:val="1"/>
      <w:marLeft w:val="0"/>
      <w:marRight w:val="0"/>
      <w:marTop w:val="0"/>
      <w:marBottom w:val="0"/>
      <w:divBdr>
        <w:top w:val="none" w:sz="0" w:space="0" w:color="auto"/>
        <w:left w:val="none" w:sz="0" w:space="0" w:color="auto"/>
        <w:bottom w:val="none" w:sz="0" w:space="0" w:color="auto"/>
        <w:right w:val="none" w:sz="0" w:space="0" w:color="auto"/>
      </w:divBdr>
    </w:div>
    <w:div w:id="181594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07CC357937D64D9CDF89104D58C81B" ma:contentTypeVersion="13" ma:contentTypeDescription="Create a new document." ma:contentTypeScope="" ma:versionID="b23bd72763f0de597bb1360487073a80">
  <xsd:schema xmlns:xsd="http://www.w3.org/2001/XMLSchema" xmlns:xs="http://www.w3.org/2001/XMLSchema" xmlns:p="http://schemas.microsoft.com/office/2006/metadata/properties" xmlns:ns3="60e4f8f0-4686-4fb5-a761-1192f8270dd1" xmlns:ns4="a519c9a6-63c0-402b-bba8-e6b0902b5865" targetNamespace="http://schemas.microsoft.com/office/2006/metadata/properties" ma:root="true" ma:fieldsID="febbbfd836892ea17c356cbb90a75f1a" ns3:_="" ns4:_="">
    <xsd:import namespace="60e4f8f0-4686-4fb5-a761-1192f8270dd1"/>
    <xsd:import namespace="a519c9a6-63c0-402b-bba8-e6b0902b58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4f8f0-4686-4fb5-a761-1192f8270d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19c9a6-63c0-402b-bba8-e6b0902b58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4A01DD-39F3-4265-A464-D138CC796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4f8f0-4686-4fb5-a761-1192f8270dd1"/>
    <ds:schemaRef ds:uri="a519c9a6-63c0-402b-bba8-e6b0902b58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E227E2-85BE-45A5-9815-EEDA73480D22}">
  <ds:schemaRefs>
    <ds:schemaRef ds:uri="http://schemas.openxmlformats.org/officeDocument/2006/bibliography"/>
  </ds:schemaRefs>
</ds:datastoreItem>
</file>

<file path=customXml/itemProps3.xml><?xml version="1.0" encoding="utf-8"?>
<ds:datastoreItem xmlns:ds="http://schemas.openxmlformats.org/officeDocument/2006/customXml" ds:itemID="{8CF42A23-13C6-4665-A92A-70E81C836BC1}">
  <ds:schemaRefs>
    <ds:schemaRef ds:uri="http://schemas.microsoft.com/sharepoint/v3/contenttype/forms"/>
  </ds:schemaRefs>
</ds:datastoreItem>
</file>

<file path=customXml/itemProps4.xml><?xml version="1.0" encoding="utf-8"?>
<ds:datastoreItem xmlns:ds="http://schemas.openxmlformats.org/officeDocument/2006/customXml" ds:itemID="{9936CEF4-4C33-4930-B109-9715816975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UNESCO</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Planincic, Amila</dc:creator>
  <cp:keywords/>
  <dc:description/>
  <cp:lastModifiedBy>Almina Ćibo</cp:lastModifiedBy>
  <cp:revision>2</cp:revision>
  <dcterms:created xsi:type="dcterms:W3CDTF">2022-07-14T07:35:00Z</dcterms:created>
  <dcterms:modified xsi:type="dcterms:W3CDTF">2022-07-14T07:35:00Z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0x010100F507CC357937D64D9CDF89104D58C81B</vt:lpwstr>
  </property>
</Properties>
</file>